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ge">
              <wp:posOffset>635</wp:posOffset>
            </wp:positionV>
            <wp:extent cx="14605" cy="14605"/>
            <wp:effectExtent l="0" t="0" r="0" b="0"/>
            <wp:wrapSquare wrapText="bothSides"/>
            <wp:docPr id="1" name="Picture 102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2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ge">
              <wp:posOffset>635</wp:posOffset>
            </wp:positionV>
            <wp:extent cx="14605" cy="14605"/>
            <wp:effectExtent l="0" t="0" r="0" b="0"/>
            <wp:wrapSquare wrapText="bothSides"/>
            <wp:docPr id="2" name="Picture 130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06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</w:rPr>
        <w:t xml:space="preserve">На основу Одлуке Градског већa града Зајечара о расписивању Јавног позива за учешће домаћинстава у спровођењу мере енергетске санације путем уградње соларних панела за производњу електричне енергије за сопствене потребе и унапређење термотехничког система путем уградње калориметара, циркулационих пумпи,  термостатских  вентила и делитеља топлоте број </w:t>
      </w:r>
      <w:r>
        <w:rPr>
          <w:rFonts w:ascii="Arial" w:hAnsi="Arial"/>
          <w:sz w:val="24"/>
          <w:szCs w:val="24"/>
          <w:lang w:val="en-US"/>
        </w:rPr>
        <w:t>011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  <w:lang w:val="en-US"/>
        </w:rPr>
        <w:t>34</w:t>
      </w:r>
      <w:r>
        <w:rPr>
          <w:rFonts w:ascii="Arial" w:hAnsi="Arial"/>
          <w:sz w:val="24"/>
          <w:szCs w:val="24"/>
        </w:rPr>
        <w:t xml:space="preserve"> од </w:t>
      </w:r>
      <w:r>
        <w:rPr>
          <w:rFonts w:ascii="Arial" w:hAnsi="Arial"/>
          <w:sz w:val="24"/>
          <w:szCs w:val="24"/>
          <w:lang w:val="en-US"/>
        </w:rPr>
        <w:t>01.11</w:t>
      </w:r>
      <w:r>
        <w:rPr>
          <w:rFonts w:ascii="Arial" w:hAnsi="Arial"/>
          <w:sz w:val="24"/>
          <w:szCs w:val="24"/>
        </w:rPr>
        <w:t>.2022. године и члана 21. Правилника о суфинансирању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калориметара, циркулационих пумпи,  термостатских  вентила и делитеља топлоте по основу Јавног позива за суфинансирање програма енергетске санације стамбених зграда, породичних кућа и станова, ЈП1/22 („Службени лист града Зајечара“, број</w:t>
      </w:r>
      <w:bookmarkStart w:id="0" w:name="__DdeLink__2070_2626805668"/>
      <w:bookmarkEnd w:id="0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highlight w:val="white"/>
        </w:rPr>
        <w:t>14/22 и </w:t>
      </w:r>
      <w:r>
        <w:rPr>
          <w:rFonts w:ascii="Arial" w:hAnsi="Arial"/>
          <w:sz w:val="24"/>
          <w:szCs w:val="24"/>
        </w:rPr>
        <w:t>26/22), Г</w:t>
      </w:r>
      <w:r>
        <w:rPr>
          <w:rFonts w:ascii="Arial" w:hAnsi="Arial"/>
          <w:sz w:val="24"/>
          <w:szCs w:val="24"/>
          <w:lang w:val="sr-RS"/>
        </w:rPr>
        <w:t>радско веће града</w:t>
      </w:r>
      <w:r>
        <w:rPr>
          <w:rFonts w:ascii="Arial" w:hAnsi="Arial"/>
          <w:sz w:val="24"/>
          <w:szCs w:val="24"/>
        </w:rPr>
        <w:t xml:space="preserve"> Зајечара дана </w:t>
      </w:r>
      <w:r>
        <w:rPr>
          <w:rFonts w:ascii="Arial" w:hAnsi="Arial"/>
          <w:sz w:val="24"/>
          <w:szCs w:val="24"/>
          <w:lang w:val="en-US"/>
        </w:rPr>
        <w:t>01.11</w:t>
      </w:r>
      <w:r>
        <w:rPr>
          <w:rFonts w:ascii="Arial" w:hAnsi="Arial"/>
          <w:sz w:val="24"/>
          <w:szCs w:val="24"/>
        </w:rPr>
        <w:t>.2022. године, расписује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b/>
          <w:bCs/>
          <w:sz w:val="24"/>
          <w:szCs w:val="24"/>
        </w:rPr>
        <w:t>ЈАВНИ ПОЗИВ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b/>
          <w:bCs/>
          <w:sz w:val="24"/>
          <w:szCs w:val="24"/>
        </w:rPr>
        <w:t>за суфинансирање уградње соларних панела за производњу електричне енергије на породичним кућама и унапређење термотехничког система путем уградње калориметара, циркулационих пумпи, термостатских  вентила и делитеља топлоте на територији града Зајечара за 2022. годину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sr-RS"/>
        </w:rPr>
        <w:t>I</w:t>
      </w:r>
      <w:r>
        <w:rPr>
          <w:rFonts w:ascii="Arial" w:hAnsi="Arial"/>
          <w:sz w:val="24"/>
          <w:szCs w:val="24"/>
        </w:rPr>
        <w:t xml:space="preserve"> ПРЕДМЕТ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 xml:space="preserve">Предмет финансирања обухвата следеће: 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</w:r>
    </w:p>
    <w:p>
      <w:pPr>
        <w:pStyle w:val="ListParagraph"/>
        <w:spacing w:lineRule="auto" w:line="240" w:before="0" w:after="0"/>
        <w:ind w:left="1068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1) набавку и уградњу соларних панела, инвертера и пратеће инсталације за </w:t>
      </w:r>
      <w:r>
        <w:rPr>
          <w:rFonts w:ascii="Arial" w:hAnsi="Arial"/>
          <w:b/>
          <w:sz w:val="24"/>
          <w:szCs w:val="24"/>
        </w:rPr>
        <w:t>породичне куће</w:t>
      </w:r>
      <w:r>
        <w:rPr>
          <w:rFonts w:ascii="Arial" w:hAnsi="Arial"/>
          <w:sz w:val="24"/>
          <w:szCs w:val="24"/>
        </w:rPr>
        <w:t xml:space="preserve"> за производњу електричне енергије за сопствене потребе, уградње двосмерног мерног уређаја за мерење предате и примљене електричне енергије,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</w:t>
      </w:r>
      <w:r>
        <w:rPr>
          <w:rFonts w:ascii="Arial" w:hAnsi="Arial"/>
          <w:b/>
          <w:sz w:val="24"/>
          <w:szCs w:val="24"/>
          <w:u w:val="single"/>
        </w:rPr>
        <w:t>а  максимално до и једнако 6 kW</w:t>
      </w:r>
      <w:r>
        <w:rPr>
          <w:rFonts w:ascii="Arial" w:hAnsi="Arial"/>
          <w:sz w:val="24"/>
          <w:szCs w:val="24"/>
        </w:rPr>
        <w:t xml:space="preserve"> и остале </w:t>
      </w:r>
      <w:r>
        <w:rPr>
          <w:rFonts w:ascii="Arial" w:hAnsi="Arial"/>
          <w:sz w:val="24"/>
          <w:szCs w:val="24"/>
          <w:lang w:val="sr-RS"/>
        </w:rPr>
        <w:t>неопходне инсталације за производњу електричне енергије</w:t>
      </w:r>
      <w:r>
        <w:rPr>
          <w:rFonts w:ascii="Arial" w:hAnsi="Arial"/>
          <w:sz w:val="24"/>
          <w:szCs w:val="24"/>
        </w:rPr>
        <w:t xml:space="preserve"> и прикључење на дистрибутивни систем у складу са Прилогом 4 из Јавног позива;</w:t>
      </w:r>
    </w:p>
    <w:p>
      <w:pPr>
        <w:pStyle w:val="ListParagraph"/>
        <w:spacing w:lineRule="auto" w:line="240" w:before="0" w:after="0"/>
        <w:ind w:left="1068" w:right="0" w:hanging="0"/>
        <w:rPr/>
      </w:pPr>
      <w:r>
        <w:rPr>
          <w:rStyle w:val="Markedcontent"/>
          <w:rFonts w:ascii="Arial" w:hAnsi="Arial"/>
          <w:sz w:val="24"/>
          <w:szCs w:val="24"/>
        </w:rPr>
        <w:t xml:space="preserve">2) уградњу електронски регулисаних циркулационих пумпи за </w:t>
      </w:r>
      <w:r>
        <w:rPr>
          <w:rStyle w:val="Markedcontent"/>
          <w:rFonts w:ascii="Arial" w:hAnsi="Arial"/>
          <w:b/>
          <w:sz w:val="24"/>
          <w:szCs w:val="24"/>
        </w:rPr>
        <w:t>породичне куће</w:t>
      </w:r>
      <w:r>
        <w:rPr>
          <w:rStyle w:val="Markedcontent"/>
          <w:rFonts w:ascii="Arial" w:hAnsi="Arial"/>
          <w:sz w:val="24"/>
          <w:szCs w:val="24"/>
        </w:rPr>
        <w:t>,</w:t>
      </w:r>
    </w:p>
    <w:p>
      <w:pPr>
        <w:pStyle w:val="ListParagraph"/>
        <w:spacing w:lineRule="auto" w:line="240" w:before="0" w:after="0"/>
        <w:ind w:left="1068" w:right="0" w:hanging="0"/>
        <w:rPr/>
      </w:pPr>
      <w:r>
        <w:rPr>
          <w:rStyle w:val="Markedcontent"/>
          <w:rFonts w:ascii="Arial" w:hAnsi="Arial"/>
          <w:sz w:val="24"/>
          <w:szCs w:val="24"/>
        </w:rPr>
        <w:t xml:space="preserve">3) опремање система грејања са уређајима за регулацију и мерење предате количине топлоте објекту (калориметри, делитељи топлоте, баланс вентили) </w:t>
      </w:r>
      <w:r>
        <w:rPr>
          <w:rStyle w:val="Markedcontent"/>
          <w:rFonts w:ascii="Arial" w:hAnsi="Arial"/>
          <w:b/>
          <w:sz w:val="24"/>
          <w:szCs w:val="24"/>
        </w:rPr>
        <w:t>за станове.</w:t>
      </w:r>
    </w:p>
    <w:p>
      <w:pPr>
        <w:pStyle w:val="Normal"/>
        <w:spacing w:lineRule="auto" w:line="240" w:before="0" w:after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ab/>
      </w:r>
    </w:p>
    <w:p>
      <w:pPr>
        <w:pStyle w:val="Normal"/>
        <w:spacing w:lineRule="auto" w:line="240" w:before="0" w:after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ab/>
        <w:t>Домаћинстава (породичне куће и станови) не могу да конкуришу за више од једне мере енергетске ефикасности из овог одељка.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  <w:tab/>
        <w:t>Укупна средства које Град заједно са средствима Управе за подстицање и унапређење енергетске ефикасности Републике Србије додељује путем овог позива износе</w:t>
      </w:r>
      <w:r>
        <w:rPr>
          <w:rFonts w:ascii="Arial" w:hAnsi="Arial"/>
          <w:bCs/>
          <w:sz w:val="24"/>
          <w:szCs w:val="24"/>
          <w:lang w:val="sr-RS"/>
        </w:rPr>
        <w:t xml:space="preserve"> </w:t>
      </w:r>
      <w:r>
        <w:rPr>
          <w:rFonts w:ascii="Arial" w:hAnsi="Arial"/>
          <w:bCs/>
          <w:sz w:val="24"/>
          <w:szCs w:val="24"/>
        </w:rPr>
        <w:t xml:space="preserve">за меру из одељка </w:t>
      </w:r>
      <w:r>
        <w:rPr>
          <w:rFonts w:ascii="Arial" w:hAnsi="Arial"/>
          <w:bCs/>
          <w:sz w:val="24"/>
          <w:szCs w:val="24"/>
          <w:lang w:val="en-US"/>
        </w:rPr>
        <w:t xml:space="preserve">I. </w:t>
      </w:r>
      <w:r>
        <w:rPr>
          <w:rFonts w:ascii="Arial" w:hAnsi="Arial"/>
          <w:bCs/>
          <w:sz w:val="24"/>
          <w:szCs w:val="24"/>
        </w:rPr>
        <w:t xml:space="preserve">став 1. тачка 1) Јавног позива 4.000.000,00 динара, а за мере из одељка </w:t>
      </w:r>
      <w:r>
        <w:rPr>
          <w:rFonts w:ascii="Arial" w:hAnsi="Arial"/>
          <w:bCs/>
          <w:sz w:val="24"/>
          <w:szCs w:val="24"/>
          <w:lang w:val="en-US"/>
        </w:rPr>
        <w:t xml:space="preserve">I. </w:t>
      </w:r>
      <w:r>
        <w:rPr>
          <w:rFonts w:ascii="Arial" w:hAnsi="Arial"/>
          <w:bCs/>
          <w:sz w:val="24"/>
          <w:szCs w:val="24"/>
        </w:rPr>
        <w:t>став 1. тач 2. и 3. Јавног позива 2.000.000,00 динара.</w:t>
      </w:r>
    </w:p>
    <w:p>
      <w:pPr>
        <w:pStyle w:val="Normal"/>
        <w:spacing w:lineRule="auto" w:line="240" w:before="0" w:after="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spacing w:lineRule="auto" w:line="259" w:before="0" w:after="16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II</w:t>
      </w:r>
      <w:r>
        <w:rPr>
          <w:rFonts w:ascii="Arial" w:hAnsi="Arial"/>
          <w:bCs/>
          <w:sz w:val="24"/>
          <w:szCs w:val="24"/>
          <w:lang w:val="ru-RU"/>
        </w:rPr>
        <w:t xml:space="preserve"> </w:t>
      </w:r>
      <w:r>
        <w:rPr>
          <w:rFonts w:ascii="Arial" w:hAnsi="Arial"/>
          <w:bCs/>
          <w:sz w:val="24"/>
          <w:szCs w:val="24"/>
        </w:rPr>
        <w:t>КОРИСНИЦИ</w:t>
      </w:r>
      <w:r>
        <w:rPr>
          <w:rFonts w:ascii="Arial" w:hAnsi="Arial"/>
          <w:bCs/>
          <w:sz w:val="24"/>
          <w:szCs w:val="24"/>
          <w:lang w:val="ru-RU"/>
        </w:rPr>
        <w:t xml:space="preserve"> </w:t>
      </w:r>
      <w:r>
        <w:rPr>
          <w:rFonts w:ascii="Arial" w:hAnsi="Arial"/>
          <w:bCs/>
          <w:sz w:val="24"/>
          <w:szCs w:val="24"/>
        </w:rPr>
        <w:t>СРЕДСТАВА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ab/>
        <w:t>Kорисници бесповратних средстава су домаћинства</w:t>
      </w:r>
      <w:r>
        <w:rPr>
          <w:rFonts w:ascii="Arial" w:hAnsi="Arial"/>
          <w:sz w:val="24"/>
          <w:szCs w:val="24"/>
        </w:rPr>
        <w:t xml:space="preserve"> изузев: 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59" w:before="0" w:after="0"/>
        <w:ind w:left="702" w:right="0" w:hanging="360"/>
        <w:jc w:val="both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власника посебних делова стамбено-пословног објеката који не служе за становање;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59" w:before="0" w:after="0"/>
        <w:ind w:left="702" w:right="0" w:hanging="360"/>
        <w:jc w:val="both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 xml:space="preserve">власника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активности. 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I</w:t>
      </w:r>
      <w:r>
        <w:rPr>
          <w:rFonts w:ascii="Arial" w:hAnsi="Arial"/>
          <w:sz w:val="24"/>
          <w:szCs w:val="24"/>
          <w:lang w:val="sr-RS"/>
        </w:rPr>
        <w:t>I</w:t>
      </w:r>
      <w:r>
        <w:rPr>
          <w:rFonts w:ascii="Arial" w:hAnsi="Arial"/>
          <w:sz w:val="24"/>
          <w:szCs w:val="24"/>
          <w:lang w:val="en-US"/>
        </w:rPr>
        <w:t xml:space="preserve">I </w:t>
      </w:r>
      <w:r>
        <w:rPr>
          <w:rFonts w:ascii="Arial" w:hAnsi="Arial"/>
          <w:sz w:val="24"/>
          <w:szCs w:val="24"/>
        </w:rPr>
        <w:t>УСЛОВИ ПРИЈАВЕ НА КОНКУРС</w:t>
      </w:r>
    </w:p>
    <w:p>
      <w:pPr>
        <w:pStyle w:val="Normal"/>
        <w:spacing w:lineRule="auto" w:line="240" w:before="0" w:after="0"/>
        <w:ind w:left="0" w:right="0" w:first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>Право учешћа на конкурсу имају домаћинства која испуњавају следеће услове: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ind w:left="717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да</w:t>
      </w:r>
      <w:r>
        <w:rPr>
          <w:rFonts w:ascii="Arial" w:hAnsi="Arial"/>
          <w:sz w:val="24"/>
          <w:szCs w:val="24"/>
        </w:rPr>
        <w:t xml:space="preserve"> је подносилац пријаве: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61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1) власник објекта за који подноси пријаву и да је подносилац пријаве   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61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власник или носилац права над бројилом, или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61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2) уколико подносилац пријаве </w:t>
        <w:tab/>
        <w:t xml:space="preserve">није власник објекта за који се подноси </w:t>
        <w:tab/>
        <w:t xml:space="preserve">пријава, неопходно је да има пријаву </w:t>
        <w:tab/>
        <w:t xml:space="preserve">боравка на адреси објекта за који </w:t>
        <w:tab/>
        <w:t xml:space="preserve">подноси пријаву и уз пријаву да поднесе писану сагласност власника </w:t>
        <w:tab/>
        <w:t xml:space="preserve">објекта оверену од стране јавног бележника да </w:t>
        <w:tab/>
        <w:t xml:space="preserve">се за објекат може </w:t>
        <w:tab/>
        <w:t>поднети пријава;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ind w:left="717" w:right="0" w:hanging="360"/>
        <w:jc w:val="left"/>
        <w:rPr/>
      </w:pPr>
      <w:r>
        <w:rPr>
          <w:rFonts w:ascii="Arial" w:hAnsi="Arial"/>
          <w:sz w:val="24"/>
          <w:szCs w:val="24"/>
        </w:rPr>
        <w:t>да је прикључен на дистрибутивну мрежу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 xml:space="preserve">електричне енергије и да је на последњем рачуну за потпрошњу електричне енергије регистрована потрошња од минимум 30 </w:t>
      </w:r>
      <w:r>
        <w:rPr>
          <w:rFonts w:ascii="Arial" w:hAnsi="Arial"/>
          <w:sz w:val="24"/>
          <w:szCs w:val="24"/>
          <w:lang w:val="sr-RS"/>
        </w:rPr>
        <w:t>kWh.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ind w:left="717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sr-RS"/>
        </w:rPr>
        <w:t xml:space="preserve">држављанин Републике Србије </w:t>
      </w:r>
      <w:r>
        <w:rPr>
          <w:rFonts w:ascii="Arial" w:hAnsi="Arial"/>
          <w:bCs/>
          <w:sz w:val="24"/>
          <w:szCs w:val="24"/>
          <w:lang w:val="zxx"/>
        </w:rPr>
        <w:t>(Комисија за реализацију мера енергетске санације врши увид у податке из службене евиденције);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17" w:right="0" w:hanging="36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>да је објекат легалан, односно да поседује један од следећих доказа за стамбени објекат: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75" w:right="0" w:hanging="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>(1) доказ о изградњи објекта пре доношења прописа о изградњи,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75" w:right="0" w:hanging="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>(2) грађевинску дозволу добијену кроз редован поступак обезбеђења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75" w:right="0" w:hanging="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>дозволе,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75" w:right="0" w:hanging="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>(3) грађевинску дозволу добијену из поступка легализације или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75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sr-RS"/>
        </w:rPr>
        <w:t>(4) решење о озакоњењу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sr-RS"/>
        </w:rPr>
        <w:t xml:space="preserve">или доказ да је </w:t>
      </w:r>
      <w:r>
        <w:rPr>
          <w:rFonts w:ascii="Arial" w:hAnsi="Arial"/>
          <w:color w:val="auto"/>
          <w:sz w:val="24"/>
          <w:szCs w:val="24"/>
        </w:rPr>
        <w:t>могуће озаконити објекат</w:t>
      </w:r>
      <w:r>
        <w:rPr>
          <w:rFonts w:ascii="Arial" w:hAnsi="Arial"/>
          <w:color w:val="auto"/>
          <w:sz w:val="24"/>
          <w:szCs w:val="24"/>
          <w:lang w:val="sr-RS"/>
        </w:rPr>
        <w:t>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75" w:right="0" w:hanging="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 xml:space="preserve">(5) употребна дозвола добијена у редовном поступку и у поступку легализације, </w:t>
      </w:r>
      <w:r>
        <w:rPr>
          <w:rFonts w:ascii="Arial" w:hAnsi="Arial"/>
          <w:bCs/>
          <w:sz w:val="24"/>
          <w:szCs w:val="24"/>
          <w:lang w:val="sr-RS"/>
        </w:rPr>
        <w:t>или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775" w:right="0" w:hanging="0"/>
        <w:jc w:val="left"/>
        <w:rPr>
          <w:rFonts w:ascii="Arial" w:hAnsi="Arial"/>
          <w:bCs/>
          <w:szCs w:val="24"/>
          <w:lang w:val="sr-RS"/>
        </w:rPr>
      </w:pPr>
      <w:r>
        <w:rPr>
          <w:rFonts w:ascii="Arial" w:hAnsi="Arial"/>
          <w:bCs/>
          <w:sz w:val="24"/>
          <w:szCs w:val="24"/>
          <w:lang w:val="sr-RS"/>
        </w:rPr>
        <w:t>(6) извод из листа непокретности у ком је видљиво да је објекат легалан.</w:t>
      </w:r>
    </w:p>
    <w:p>
      <w:pPr>
        <w:pStyle w:val="Normal"/>
        <w:widowControl/>
        <w:bidi w:val="0"/>
        <w:spacing w:lineRule="auto" w:line="240" w:before="0" w:after="0"/>
        <w:ind w:left="15" w:right="0" w:hanging="3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 xml:space="preserve">    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418" w:right="0" w:hanging="0"/>
        <w:jc w:val="left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ab/>
        <w:t>Уколико има више од једног власника породичне куће, потребно је доставити сагласност осталих власника приликом пријаве.</w:t>
      </w:r>
    </w:p>
    <w:p>
      <w:pPr>
        <w:pStyle w:val="Normal"/>
        <w:spacing w:lineRule="auto" w:line="240" w:before="0" w:after="0"/>
        <w:ind w:left="61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>Уколико подносилац пријаве није власник породичне куће, потребно је доставити сагласност власника.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 xml:space="preserve">IV МАКСИМАЛНА ВИСИНА СРЕДСТАВА СУФИНАНСИРАЊА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ascii="Arial" w:hAnsi="Arial"/>
          <w:sz w:val="24"/>
          <w:szCs w:val="24"/>
        </w:rPr>
        <w:tab/>
        <w:tab/>
        <w:t>Максимални износ средстава подстицаја који се додељује:</w:t>
      </w:r>
    </w:p>
    <w:p>
      <w:pPr>
        <w:pStyle w:val="Normal"/>
        <w:spacing w:lineRule="auto" w:line="240" w:before="0" w:after="0"/>
        <w:rPr>
          <w:rStyle w:val="Markedconten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ascii="Arial" w:hAnsi="Arial"/>
          <w:sz w:val="24"/>
          <w:szCs w:val="24"/>
        </w:rPr>
        <w:t>1) за меру  из одељка</w:t>
      </w:r>
      <w:r>
        <w:rPr>
          <w:rStyle w:val="Markedcontent"/>
          <w:rFonts w:ascii="Arial" w:hAnsi="Arial"/>
          <w:sz w:val="24"/>
          <w:szCs w:val="24"/>
          <w:lang w:val="en-US"/>
        </w:rPr>
        <w:t xml:space="preserve"> I, </w:t>
      </w:r>
      <w:r>
        <w:rPr>
          <w:rStyle w:val="Markedcontent"/>
          <w:rFonts w:ascii="Arial" w:hAnsi="Arial"/>
          <w:sz w:val="24"/>
          <w:szCs w:val="24"/>
        </w:rPr>
        <w:t>тачка 1)</w:t>
      </w:r>
      <w:r>
        <w:rPr>
          <w:rStyle w:val="Markedcontent"/>
          <w:rFonts w:ascii="Arial" w:hAnsi="Arial"/>
          <w:sz w:val="24"/>
          <w:szCs w:val="24"/>
          <w:lang w:val="en-US"/>
        </w:rPr>
        <w:t xml:space="preserve"> </w:t>
      </w:r>
      <w:r>
        <w:rPr>
          <w:rStyle w:val="Markedcontent"/>
          <w:rFonts w:ascii="Arial" w:hAnsi="Arial"/>
          <w:sz w:val="24"/>
          <w:szCs w:val="24"/>
        </w:rPr>
        <w:t xml:space="preserve">која се односи на </w:t>
      </w:r>
      <w:r>
        <w:rPr>
          <w:rFonts w:ascii="Arial" w:hAnsi="Arial"/>
          <w:sz w:val="24"/>
          <w:szCs w:val="24"/>
        </w:rPr>
        <w:t>набавку и уградњу соларних панела</w:t>
      </w:r>
      <w:r>
        <w:rPr>
          <w:rStyle w:val="Markedcontent"/>
          <w:rFonts w:ascii="Arial" w:hAnsi="Arial"/>
          <w:sz w:val="24"/>
          <w:szCs w:val="24"/>
        </w:rPr>
        <w:t xml:space="preserve"> , представља мањи износ од:</w:t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ascii="Arial" w:hAnsi="Arial"/>
          <w:sz w:val="24"/>
          <w:szCs w:val="24"/>
        </w:rPr>
        <w:t>- 50% од вредности укупне инвестиције са ПДВ-ом, а максимално 420.000</w:t>
      </w:r>
      <w:r>
        <w:rPr>
          <w:rStyle w:val="Markedcontent"/>
          <w:rFonts w:ascii="Arial" w:hAnsi="Arial"/>
          <w:sz w:val="24"/>
          <w:szCs w:val="24"/>
          <w:lang w:val="sr-RS"/>
        </w:rPr>
        <w:t>,00</w:t>
      </w:r>
      <w:r>
        <w:rPr>
          <w:rStyle w:val="Markedcontent"/>
          <w:rFonts w:ascii="Arial" w:hAnsi="Arial"/>
          <w:sz w:val="24"/>
          <w:szCs w:val="24"/>
        </w:rPr>
        <w:t xml:space="preserve"> динара са ПДВ-ом, и;</w:t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ascii="Arial" w:hAnsi="Arial"/>
          <w:sz w:val="24"/>
          <w:szCs w:val="24"/>
        </w:rPr>
        <w:t>- износа који се добија множењем снаге у kW соларних панела из достављене профактуре, са  износом од 70.000</w:t>
      </w:r>
      <w:r>
        <w:rPr>
          <w:rStyle w:val="Markedcontent"/>
          <w:rFonts w:ascii="Arial" w:hAnsi="Arial"/>
          <w:sz w:val="24"/>
          <w:szCs w:val="24"/>
          <w:lang w:val="sr-RS"/>
        </w:rPr>
        <w:t>,00</w:t>
      </w:r>
      <w:r>
        <w:rPr>
          <w:rStyle w:val="Markedcontent"/>
          <w:rFonts w:ascii="Arial" w:hAnsi="Arial"/>
          <w:sz w:val="24"/>
          <w:szCs w:val="24"/>
        </w:rPr>
        <w:t xml:space="preserve"> динара са ПДВ-ом;</w:t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ascii="Arial" w:hAnsi="Arial"/>
          <w:sz w:val="24"/>
          <w:szCs w:val="24"/>
        </w:rPr>
        <w:t>2) за меру  из одељка</w:t>
      </w:r>
      <w:r>
        <w:rPr>
          <w:rStyle w:val="Markedcontent"/>
          <w:rFonts w:ascii="Arial" w:hAnsi="Arial"/>
          <w:sz w:val="24"/>
          <w:szCs w:val="24"/>
          <w:lang w:val="en-US"/>
        </w:rPr>
        <w:t xml:space="preserve"> I, </w:t>
      </w:r>
      <w:r>
        <w:rPr>
          <w:rStyle w:val="Markedcontent"/>
          <w:rFonts w:ascii="Arial" w:hAnsi="Arial"/>
          <w:sz w:val="24"/>
          <w:szCs w:val="24"/>
        </w:rPr>
        <w:t>тачка 2)</w:t>
      </w:r>
      <w:r>
        <w:rPr>
          <w:rStyle w:val="Markedcontent"/>
          <w:rFonts w:ascii="Arial" w:hAnsi="Arial"/>
          <w:sz w:val="24"/>
          <w:szCs w:val="24"/>
          <w:lang w:val="en-US"/>
        </w:rPr>
        <w:t xml:space="preserve"> </w:t>
      </w:r>
      <w:r>
        <w:rPr>
          <w:rStyle w:val="Markedcontent"/>
          <w:rFonts w:ascii="Arial" w:hAnsi="Arial"/>
          <w:sz w:val="24"/>
          <w:szCs w:val="24"/>
        </w:rPr>
        <w:t>која се односи на уградњу електронски регулисаних циркулационих пумпи 50% од износа предрачуна за радове и опрему са ПДВ-ом, а максимално 15.000,00 динара са ПДВ-ом по циркулационој пумпи;</w:t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ascii="Arial" w:hAnsi="Arial"/>
          <w:sz w:val="24"/>
          <w:szCs w:val="24"/>
        </w:rPr>
        <w:t>3) за меру  из одељка I, тачка 3) која се односи на опремање система грејања са уређајима за регулацију и мерење предате количине топлоте објекту износи 50% од износа предрачуна за радове и опрему са ПДВ-ом, а максимално:</w:t>
      </w:r>
    </w:p>
    <w:p>
      <w:pPr>
        <w:pStyle w:val="Normal"/>
        <w:spacing w:lineRule="auto" w:line="240" w:before="0" w:after="0"/>
        <w:jc w:val="left"/>
        <w:rPr/>
      </w:pPr>
      <w:r>
        <w:rPr>
          <w:rStyle w:val="Markedcontent"/>
          <w:rFonts w:ascii="Arial" w:hAnsi="Arial"/>
          <w:sz w:val="24"/>
          <w:szCs w:val="24"/>
        </w:rPr>
        <w:tab/>
        <w:tab/>
        <w:t>-15.000,00 динара са ПДВ-ом по калориметару</w:t>
      </w:r>
    </w:p>
    <w:p>
      <w:pPr>
        <w:pStyle w:val="Normal"/>
        <w:spacing w:lineRule="auto" w:line="240" w:before="0" w:after="0"/>
        <w:jc w:val="left"/>
        <w:rPr/>
      </w:pPr>
      <w:r>
        <w:rPr>
          <w:rStyle w:val="Markedcontent"/>
          <w:rFonts w:ascii="Arial" w:hAnsi="Arial"/>
          <w:sz w:val="24"/>
          <w:szCs w:val="24"/>
        </w:rPr>
        <w:tab/>
        <w:tab/>
        <w:t>-1.000,00 динара са ПДВ-ом по делитељу топлоте</w:t>
      </w:r>
    </w:p>
    <w:p>
      <w:pPr>
        <w:pStyle w:val="Normal"/>
        <w:spacing w:lineRule="auto" w:line="240" w:before="0" w:after="0"/>
        <w:jc w:val="left"/>
        <w:rPr/>
      </w:pPr>
      <w:r>
        <w:rPr>
          <w:rStyle w:val="Markedcontent"/>
          <w:rFonts w:ascii="Arial" w:hAnsi="Arial"/>
          <w:sz w:val="24"/>
          <w:szCs w:val="24"/>
        </w:rPr>
        <w:tab/>
        <w:tab/>
        <w:t>-1.500,00 динара са ПДВ-ом по термостатском вентилу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V НЕПРИХВАТЉИВИ ТРОШКОВИ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>У неприхватљиве трошкове спадају: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0"/>
        <w:ind w:left="720" w:right="0" w:hanging="360"/>
        <w:rPr>
          <w:rFonts w:ascii="Arial" w:hAnsi="Arial"/>
          <w:bCs/>
          <w:szCs w:val="24"/>
        </w:rPr>
      </w:pPr>
      <w:r>
        <w:rPr>
          <w:rFonts w:ascii="Arial" w:hAnsi="Arial"/>
          <w:bCs/>
          <w:sz w:val="24"/>
          <w:szCs w:val="24"/>
          <w:lang w:val="zxx"/>
        </w:rPr>
        <w:t>т</w:t>
      </w:r>
      <w:r>
        <w:rPr>
          <w:rFonts w:ascii="Arial" w:hAnsi="Arial"/>
          <w:bCs/>
          <w:sz w:val="24"/>
          <w:szCs w:val="24"/>
        </w:rPr>
        <w:t xml:space="preserve">рошкови који су у вези са набавком опреме </w:t>
      </w:r>
      <w:r>
        <w:rPr>
          <w:rFonts w:ascii="Arial" w:hAnsi="Arial"/>
          <w:bCs/>
          <w:sz w:val="24"/>
          <w:szCs w:val="24"/>
          <w:lang w:val="zxx"/>
        </w:rPr>
        <w:t>(</w:t>
      </w:r>
      <w:r>
        <w:rPr>
          <w:rFonts w:ascii="Arial" w:hAnsi="Arial"/>
          <w:bCs/>
          <w:sz w:val="24"/>
          <w:szCs w:val="24"/>
        </w:rPr>
        <w:t>царински и административни трошкови</w:t>
      </w:r>
      <w:r>
        <w:rPr>
          <w:rFonts w:ascii="Arial" w:hAnsi="Arial"/>
          <w:bCs/>
          <w:sz w:val="24"/>
          <w:szCs w:val="24"/>
          <w:lang w:val="zxx"/>
        </w:rPr>
        <w:t>);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0" w:hanging="36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рефундацију трошкова за већ набављену опрему и извршене услуге (плаћене или испоручене), односно, не прихватају се трошкови радова,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right="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трошкови у вези са одобравањем и спровођењем кредитног задужења: трошкови одобравања кредита, трошкови камата, трошкови кредитног бироа, трошкови осигурања кредита;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0" w:hanging="36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набавка опреме коју подносилац захтева за бесповратна средства сам производи или за услуге које подносилац захтева сам извршава;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други трошкови који нису у складу са мерама енергетске санације.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VI ОБАВЕЗНА ДОКУМЕНТАЦИЈА УЗ ПРИЈАВУ НА ЈАВНИ ПОЗИВ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Пријава мора да садржи:</w:t>
      </w:r>
    </w:p>
    <w:p>
      <w:pPr>
        <w:pStyle w:val="Normal"/>
        <w:spacing w:lineRule="auto" w:line="240" w:before="0" w:after="0"/>
        <w:ind w:left="0" w:right="0" w:firstLine="708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потписан и попуњен Пријавни образац (Прилог 1) за суфинансирање мера енергетске ефикасности;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29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  <w:lang w:val="zxx"/>
        </w:rPr>
        <w:t>доказ о власништву</w:t>
      </w:r>
      <w:r>
        <w:rPr>
          <w:rFonts w:ascii="Arial" w:hAnsi="Arial"/>
          <w:color w:val="CE181E"/>
          <w:sz w:val="24"/>
          <w:szCs w:val="24"/>
          <w:lang w:val="zxx"/>
        </w:rPr>
        <w:t xml:space="preserve"> </w:t>
      </w:r>
      <w:r>
        <w:rPr>
          <w:rFonts w:ascii="Arial" w:hAnsi="Arial"/>
          <w:color w:val="auto"/>
          <w:sz w:val="24"/>
          <w:szCs w:val="24"/>
          <w:lang w:val="zxx"/>
        </w:rPr>
        <w:t xml:space="preserve">објекта - </w:t>
      </w:r>
      <w:r>
        <w:rPr>
          <w:rFonts w:ascii="Arial" w:hAnsi="Arial"/>
          <w:color w:val="auto"/>
          <w:sz w:val="24"/>
          <w:szCs w:val="24"/>
          <w:lang w:val="en-US"/>
        </w:rPr>
        <w:t>извод из л</w:t>
      </w:r>
      <w:r>
        <w:rPr>
          <w:rFonts w:ascii="Arial" w:hAnsi="Arial"/>
          <w:color w:val="auto"/>
          <w:sz w:val="24"/>
          <w:szCs w:val="24"/>
          <w:lang w:val="zxx"/>
        </w:rPr>
        <w:t>ист</w:t>
      </w:r>
      <w:r>
        <w:rPr>
          <w:rFonts w:ascii="Arial" w:hAnsi="Arial"/>
          <w:color w:val="auto"/>
          <w:sz w:val="24"/>
          <w:szCs w:val="24"/>
          <w:lang w:val="en-US"/>
        </w:rPr>
        <w:t>а</w:t>
      </w:r>
      <w:r>
        <w:rPr>
          <w:rFonts w:ascii="Arial" w:hAnsi="Arial"/>
          <w:color w:val="auto"/>
          <w:sz w:val="24"/>
          <w:szCs w:val="24"/>
          <w:lang w:val="zxx"/>
        </w:rPr>
        <w:t xml:space="preserve"> непокретности (Комисија прибавља податке из евиденције РГЗ – Службе за катастар непокретности) или, уколико власник није уписан у РГЗ, Службе за катастар непокретности Зајечар, </w:t>
      </w:r>
      <w:r>
        <w:rPr>
          <w:rFonts w:ascii="Arial" w:hAnsi="Arial"/>
          <w:color w:val="auto"/>
          <w:sz w:val="24"/>
          <w:szCs w:val="24"/>
          <w:lang w:val="en-US"/>
        </w:rPr>
        <w:t xml:space="preserve">доставити </w:t>
      </w:r>
      <w:r>
        <w:rPr>
          <w:rFonts w:ascii="Arial" w:hAnsi="Arial"/>
          <w:color w:val="auto"/>
          <w:sz w:val="24"/>
          <w:szCs w:val="24"/>
          <w:lang w:val="zxx"/>
        </w:rPr>
        <w:t xml:space="preserve">уговор који је оверен од стране надлежног органа, </w:t>
      </w:r>
      <w:r>
        <w:rPr>
          <w:rFonts w:ascii="Arial" w:hAnsi="Arial"/>
          <w:color w:val="auto"/>
          <w:sz w:val="24"/>
          <w:szCs w:val="24"/>
          <w:lang w:val="en-US"/>
        </w:rPr>
        <w:t>односно</w:t>
      </w:r>
      <w:r>
        <w:rPr>
          <w:rFonts w:ascii="Arial" w:hAnsi="Arial"/>
          <w:color w:val="auto"/>
          <w:sz w:val="24"/>
          <w:szCs w:val="24"/>
          <w:lang w:val="zxx"/>
        </w:rPr>
        <w:t xml:space="preserve"> оставинско решење;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  <w:lang w:val="zxx"/>
        </w:rPr>
        <w:t>д</w:t>
      </w:r>
      <w:r>
        <w:rPr>
          <w:rFonts w:ascii="Arial" w:hAnsi="Arial"/>
          <w:sz w:val="24"/>
          <w:szCs w:val="24"/>
        </w:rPr>
        <w:t>окумент којим се доказује легалност објекта: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95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 xml:space="preserve">- </w:t>
      </w:r>
      <w:r>
        <w:rPr>
          <w:rFonts w:ascii="Arial" w:hAnsi="Arial"/>
          <w:sz w:val="24"/>
          <w:szCs w:val="24"/>
        </w:rPr>
        <w:t>доказ о изградњи објекта пре доношења прописа о изградњи,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95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 xml:space="preserve">- </w:t>
      </w:r>
      <w:r>
        <w:rPr>
          <w:rFonts w:ascii="Arial" w:hAnsi="Arial"/>
          <w:sz w:val="24"/>
          <w:szCs w:val="24"/>
        </w:rPr>
        <w:t>грађевинск</w:t>
      </w:r>
      <w:r>
        <w:rPr>
          <w:rFonts w:ascii="Arial" w:hAnsi="Arial"/>
          <w:sz w:val="24"/>
          <w:szCs w:val="24"/>
          <w:lang w:val="zxx"/>
        </w:rPr>
        <w:t>а</w:t>
      </w:r>
      <w:r>
        <w:rPr>
          <w:rFonts w:ascii="Arial" w:hAnsi="Arial"/>
          <w:sz w:val="24"/>
          <w:szCs w:val="24"/>
        </w:rPr>
        <w:t xml:space="preserve"> дозвол</w:t>
      </w:r>
      <w:r>
        <w:rPr>
          <w:rFonts w:ascii="Arial" w:hAnsi="Arial"/>
          <w:sz w:val="24"/>
          <w:szCs w:val="24"/>
          <w:lang w:val="zxx"/>
        </w:rPr>
        <w:t>а</w:t>
      </w:r>
      <w:r>
        <w:rPr>
          <w:rFonts w:ascii="Arial" w:hAnsi="Arial"/>
          <w:sz w:val="24"/>
          <w:szCs w:val="24"/>
        </w:rPr>
        <w:t xml:space="preserve"> добијена кроз редован поступак обезбеђења дозволе,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95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 xml:space="preserve">- </w:t>
      </w:r>
      <w:r>
        <w:rPr>
          <w:rFonts w:ascii="Arial" w:hAnsi="Arial"/>
          <w:sz w:val="24"/>
          <w:szCs w:val="24"/>
        </w:rPr>
        <w:t>грађевинск</w:t>
      </w:r>
      <w:r>
        <w:rPr>
          <w:rFonts w:ascii="Arial" w:hAnsi="Arial"/>
          <w:sz w:val="24"/>
          <w:szCs w:val="24"/>
          <w:lang w:val="zxx"/>
        </w:rPr>
        <w:t>а</w:t>
      </w:r>
      <w:r>
        <w:rPr>
          <w:rFonts w:ascii="Arial" w:hAnsi="Arial"/>
          <w:sz w:val="24"/>
          <w:szCs w:val="24"/>
        </w:rPr>
        <w:t xml:space="preserve"> дозвол</w:t>
      </w:r>
      <w:r>
        <w:rPr>
          <w:rFonts w:ascii="Arial" w:hAnsi="Arial"/>
          <w:sz w:val="24"/>
          <w:szCs w:val="24"/>
          <w:lang w:val="zxx"/>
        </w:rPr>
        <w:t>а</w:t>
      </w:r>
      <w:r>
        <w:rPr>
          <w:rFonts w:ascii="Arial" w:hAnsi="Arial"/>
          <w:sz w:val="24"/>
          <w:szCs w:val="24"/>
        </w:rPr>
        <w:t xml:space="preserve"> добијена из поступка легализације,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95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 xml:space="preserve">- </w:t>
      </w:r>
      <w:r>
        <w:rPr>
          <w:rFonts w:ascii="Arial" w:hAnsi="Arial"/>
          <w:sz w:val="24"/>
          <w:szCs w:val="24"/>
        </w:rPr>
        <w:t>ре</w:t>
      </w:r>
      <w:r>
        <w:rPr>
          <w:rFonts w:ascii="Arial" w:hAnsi="Arial"/>
          <w:color w:val="auto"/>
          <w:sz w:val="24"/>
          <w:szCs w:val="24"/>
        </w:rPr>
        <w:t xml:space="preserve">шење о озакоњењу </w:t>
      </w:r>
      <w:r>
        <w:rPr>
          <w:rFonts w:ascii="Arial" w:hAnsi="Arial"/>
          <w:color w:val="auto"/>
          <w:sz w:val="24"/>
          <w:szCs w:val="24"/>
          <w:lang w:val="sr-RS"/>
        </w:rPr>
        <w:t>или потврда/уверење надлежног органа да је могуће озаконити објекат,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95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 xml:space="preserve">- </w:t>
      </w:r>
      <w:r>
        <w:rPr>
          <w:rFonts w:ascii="Arial" w:hAnsi="Arial"/>
          <w:sz w:val="24"/>
          <w:szCs w:val="24"/>
          <w:lang w:val="sr-RS"/>
        </w:rPr>
        <w:t xml:space="preserve">употребна дозвола добијена </w:t>
      </w:r>
      <w:r>
        <w:rPr>
          <w:rFonts w:ascii="Arial" w:hAnsi="Arial"/>
          <w:sz w:val="24"/>
          <w:szCs w:val="24"/>
        </w:rPr>
        <w:t xml:space="preserve">у редовном поступку и у поступку легализације, </w:t>
      </w:r>
      <w:r>
        <w:rPr>
          <w:rFonts w:ascii="Arial" w:hAnsi="Arial"/>
          <w:sz w:val="24"/>
          <w:szCs w:val="24"/>
          <w:lang w:val="sr-RS"/>
        </w:rPr>
        <w:t>или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1495" w:right="0" w:hanging="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 xml:space="preserve"> </w:t>
      </w:r>
      <w:r>
        <w:rPr>
          <w:rFonts w:ascii="Arial" w:hAnsi="Arial"/>
          <w:sz w:val="24"/>
          <w:szCs w:val="24"/>
          <w:lang w:val="sr-RS"/>
        </w:rPr>
        <w:t>-извод из листа непокретности у ком је видљиво да је објекат легалан.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>фотокопиј</w:t>
      </w:r>
      <w:r>
        <w:rPr>
          <w:rFonts w:ascii="Arial" w:hAnsi="Arial"/>
          <w:sz w:val="24"/>
          <w:szCs w:val="24"/>
          <w:lang w:val="sr-RS"/>
        </w:rPr>
        <w:t>а</w:t>
      </w:r>
      <w:r>
        <w:rPr>
          <w:rFonts w:ascii="Arial" w:hAnsi="Arial"/>
          <w:sz w:val="24"/>
          <w:szCs w:val="24"/>
          <w:lang w:val="zxx"/>
        </w:rPr>
        <w:t xml:space="preserve"> личне карте или очитана лична карта подносиоца захтева и за лица која живе на адреси породичне куће за коју се подноси пријава. За малолетна лица доставити фотокопије здравствених књижица;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предрачун (профактура) са количином и ценом за опрему,  наведену у одељку I Јавног позива, са уградњом  коју грађанин добија од једног од привредних субјеката (извођача радова) са листе (Прилог 2) коју је објавио Град, а коју грађанин изабере са листе;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фотокопију рачуна за утрошену електричну енергију, </w:t>
      </w:r>
      <w:r>
        <w:rPr>
          <w:rFonts w:ascii="Arial" w:hAnsi="Arial"/>
          <w:sz w:val="24"/>
          <w:szCs w:val="24"/>
          <w:highlight w:val="white"/>
        </w:rPr>
        <w:t>за последњи месец,</w:t>
      </w:r>
      <w:r>
        <w:rPr>
          <w:rFonts w:ascii="Arial" w:hAnsi="Arial"/>
          <w:sz w:val="24"/>
          <w:szCs w:val="24"/>
        </w:rPr>
        <w:t xml:space="preserve"> за стамбени објекат за који се конкурише</w:t>
      </w:r>
      <w:r>
        <w:rPr>
          <w:rFonts w:ascii="Arial" w:hAnsi="Arial"/>
          <w:sz w:val="24"/>
          <w:szCs w:val="24"/>
          <w:highlight w:val="white"/>
        </w:rPr>
        <w:t>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>ф</w:t>
      </w:r>
      <w:r>
        <w:rPr>
          <w:rFonts w:ascii="Arial" w:hAnsi="Arial"/>
          <w:sz w:val="24"/>
          <w:szCs w:val="24"/>
          <w:lang w:val="sr-RS"/>
        </w:rPr>
        <w:t>отокопија пореског решења за текућу годину;</w:t>
      </w:r>
    </w:p>
    <w:p>
      <w:pPr>
        <w:pStyle w:val="ListParagraph"/>
        <w:numPr>
          <w:ilvl w:val="0"/>
          <w:numId w:val="4"/>
        </w:numPr>
        <w:spacing w:lineRule="auto" w:line="259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>И</w:t>
      </w:r>
      <w:r>
        <w:rPr>
          <w:rFonts w:ascii="Arial" w:hAnsi="Arial"/>
          <w:sz w:val="24"/>
          <w:szCs w:val="24"/>
          <w:lang w:val="sr-RS"/>
        </w:rPr>
        <w:t xml:space="preserve">зјава о члановима домаћинства са фотокопијом личних карата за сваког члана домаћинства са јасно видљивом адресом становања </w:t>
      </w:r>
      <w:r>
        <w:rPr>
          <w:rFonts w:ascii="Arial" w:hAnsi="Arial"/>
          <w:sz w:val="24"/>
          <w:szCs w:val="24"/>
          <w:lang w:val="zxx"/>
        </w:rPr>
        <w:t>(</w:t>
      </w:r>
      <w:r>
        <w:rPr>
          <w:rFonts w:ascii="Arial" w:hAnsi="Arial"/>
          <w:color w:val="auto"/>
          <w:sz w:val="24"/>
          <w:szCs w:val="24"/>
          <w:lang w:val="sr-RS"/>
        </w:rPr>
        <w:t xml:space="preserve">Прилог </w:t>
      </w:r>
      <w:r>
        <w:rPr>
          <w:rFonts w:ascii="Arial" w:hAnsi="Arial"/>
          <w:color w:val="auto"/>
          <w:sz w:val="24"/>
          <w:szCs w:val="24"/>
          <w:lang w:val="zxx"/>
        </w:rPr>
        <w:t>8);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  <w:lang w:val="zxx"/>
        </w:rPr>
        <w:t>Изјава да нису коришћене субвенције за енергетску санацију (средства града/републике) у последње три године и да нису у претходне две године после достављања Решења о додели бесповратних средстава за сличне активности одустали од спровођења активности</w:t>
      </w:r>
      <w:r>
        <w:rPr>
          <w:rFonts w:ascii="Arial" w:hAnsi="Arial"/>
          <w:color w:val="auto"/>
          <w:sz w:val="24"/>
          <w:szCs w:val="24"/>
          <w:lang w:val="sr-RS"/>
        </w:rPr>
        <w:t xml:space="preserve"> (Прилог </w:t>
      </w:r>
      <w:r>
        <w:rPr>
          <w:rFonts w:ascii="Arial" w:hAnsi="Arial"/>
          <w:color w:val="auto"/>
          <w:sz w:val="24"/>
          <w:szCs w:val="24"/>
          <w:lang w:val="zxx"/>
        </w:rPr>
        <w:t>9</w:t>
      </w:r>
      <w:r>
        <w:rPr>
          <w:rFonts w:ascii="Arial" w:hAnsi="Arial"/>
          <w:color w:val="auto"/>
          <w:sz w:val="24"/>
          <w:szCs w:val="24"/>
          <w:lang w:val="sr-RS"/>
        </w:rPr>
        <w:t>);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59" w:before="0" w:after="0"/>
        <w:ind w:left="778" w:right="0" w:hanging="360"/>
        <w:jc w:val="left"/>
        <w:rPr>
          <w:rFonts w:ascii="Arial" w:hAnsi="Arial"/>
          <w:color w:val="auto"/>
          <w:szCs w:val="24"/>
          <w:lang w:val="zxx"/>
        </w:rPr>
      </w:pPr>
      <w:r>
        <w:rPr>
          <w:rFonts w:ascii="Arial" w:hAnsi="Arial"/>
          <w:color w:val="auto"/>
          <w:sz w:val="24"/>
          <w:szCs w:val="24"/>
          <w:lang w:val="zxx"/>
        </w:rPr>
        <w:t>п</w:t>
      </w:r>
      <w:r>
        <w:rPr>
          <w:rFonts w:ascii="Arial" w:hAnsi="Arial"/>
          <w:color w:val="auto"/>
          <w:sz w:val="24"/>
          <w:szCs w:val="24"/>
          <w:lang w:val="sr-RS"/>
        </w:rPr>
        <w:t xml:space="preserve">отписана </w:t>
      </w:r>
      <w:r>
        <w:rPr>
          <w:rFonts w:ascii="Arial" w:hAnsi="Arial"/>
          <w:color w:val="auto"/>
          <w:sz w:val="24"/>
          <w:szCs w:val="24"/>
          <w:lang w:val="zxx"/>
        </w:rPr>
        <w:t>И</w:t>
      </w:r>
      <w:r>
        <w:rPr>
          <w:rFonts w:ascii="Arial" w:hAnsi="Arial"/>
          <w:color w:val="auto"/>
          <w:sz w:val="24"/>
          <w:szCs w:val="24"/>
          <w:lang w:val="sr-RS"/>
        </w:rPr>
        <w:t xml:space="preserve">зјава о сагласности да се за потребе поступка може извршити увид, прибавити и обрадити податке о чињеницама о којима се води службена евиденција, а који су неопходни у поступку одлучивања (Прилог </w:t>
      </w:r>
      <w:r>
        <w:rPr>
          <w:rFonts w:ascii="Arial" w:hAnsi="Arial"/>
          <w:color w:val="auto"/>
          <w:sz w:val="24"/>
          <w:szCs w:val="24"/>
          <w:lang w:val="zxx"/>
        </w:rPr>
        <w:t>10</w:t>
      </w:r>
      <w:r>
        <w:rPr>
          <w:rFonts w:ascii="Arial" w:hAnsi="Arial"/>
          <w:color w:val="auto"/>
          <w:sz w:val="24"/>
          <w:szCs w:val="24"/>
          <w:lang w:val="sr-RS"/>
        </w:rPr>
        <w:t>);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  <w:lang w:val="zxx"/>
        </w:rPr>
        <w:t>И</w:t>
      </w:r>
      <w:r>
        <w:rPr>
          <w:rFonts w:ascii="Arial" w:hAnsi="Arial"/>
          <w:color w:val="auto"/>
          <w:sz w:val="24"/>
          <w:szCs w:val="24"/>
          <w:lang w:val="sr-RS"/>
        </w:rPr>
        <w:t xml:space="preserve">зјава да Град може да прибави за грађанина из катастра потврду о власништву (Прилог </w:t>
      </w:r>
      <w:r>
        <w:rPr>
          <w:rFonts w:ascii="Arial" w:hAnsi="Arial"/>
          <w:color w:val="auto"/>
          <w:sz w:val="24"/>
          <w:szCs w:val="24"/>
          <w:lang w:val="zxx"/>
        </w:rPr>
        <w:t>11</w:t>
      </w:r>
      <w:r>
        <w:rPr>
          <w:rFonts w:ascii="Arial" w:hAnsi="Arial"/>
          <w:color w:val="auto"/>
          <w:sz w:val="24"/>
          <w:szCs w:val="24"/>
          <w:lang w:val="sr-RS"/>
        </w:rPr>
        <w:t>);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59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auto"/>
          <w:sz w:val="24"/>
          <w:szCs w:val="24"/>
          <w:lang w:val="zxx"/>
        </w:rPr>
        <w:t>а</w:t>
      </w:r>
      <w:r>
        <w:rPr>
          <w:rFonts w:ascii="Arial" w:hAnsi="Arial"/>
          <w:bCs/>
          <w:color w:val="auto"/>
          <w:sz w:val="24"/>
          <w:szCs w:val="24"/>
          <w:lang w:val="sr-RS"/>
        </w:rPr>
        <w:t xml:space="preserve">ко подносилац пријаве није власник, онда подносилац пријаве мора да има пријаву боравка на адреси објекта за који подноси пријаву, и тада је потребно уз пријаву поднети писану сагласност власника објекта оверену од стране јавног бележника да се за објекат може поднети пријава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59" w:before="0" w:after="0"/>
        <w:ind w:left="1196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auto"/>
          <w:sz w:val="24"/>
          <w:szCs w:val="24"/>
          <w:lang w:val="sr-RS"/>
        </w:rPr>
        <w:t xml:space="preserve">(Прилог </w:t>
      </w:r>
      <w:r>
        <w:rPr>
          <w:rFonts w:ascii="Arial" w:hAnsi="Arial"/>
          <w:bCs/>
          <w:color w:val="auto"/>
          <w:sz w:val="24"/>
          <w:szCs w:val="24"/>
          <w:lang w:val="zxx"/>
        </w:rPr>
        <w:t>12</w:t>
      </w:r>
      <w:r>
        <w:rPr>
          <w:rFonts w:ascii="Arial" w:hAnsi="Arial"/>
          <w:bCs/>
          <w:color w:val="auto"/>
          <w:sz w:val="24"/>
          <w:szCs w:val="24"/>
          <w:lang w:val="sr-RS"/>
        </w:rPr>
        <w:t>);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59" w:before="0" w:after="0"/>
        <w:ind w:left="778" w:right="0" w:hanging="360"/>
        <w:jc w:val="left"/>
        <w:rPr>
          <w:rFonts w:ascii="Arial" w:hAnsi="Arial"/>
          <w:color w:val="auto"/>
          <w:szCs w:val="24"/>
          <w:lang w:val="zxx"/>
        </w:rPr>
      </w:pPr>
      <w:r>
        <w:rPr>
          <w:rFonts w:ascii="Arial" w:hAnsi="Arial"/>
          <w:bCs/>
          <w:color w:val="auto"/>
          <w:sz w:val="24"/>
          <w:szCs w:val="24"/>
          <w:lang w:val="sr-RS"/>
        </w:rPr>
        <w:t>Сагласност осталих власника (сувласника) уколико има више од једног власника породичне куће (Прилог</w:t>
      </w:r>
      <w:r>
        <w:rPr>
          <w:rFonts w:ascii="Arial" w:hAnsi="Arial"/>
          <w:bCs/>
          <w:color w:val="auto"/>
          <w:sz w:val="24"/>
          <w:szCs w:val="24"/>
          <w:lang w:val="en-US"/>
        </w:rPr>
        <w:t xml:space="preserve"> 1</w:t>
      </w:r>
      <w:r>
        <w:rPr>
          <w:rFonts w:ascii="Arial" w:hAnsi="Arial"/>
          <w:bCs/>
          <w:color w:val="auto"/>
          <w:sz w:val="24"/>
          <w:szCs w:val="24"/>
          <w:lang w:val="zxx"/>
        </w:rPr>
        <w:t>3</w:t>
      </w:r>
      <w:r>
        <w:rPr>
          <w:rFonts w:ascii="Arial" w:hAnsi="Arial"/>
          <w:bCs/>
          <w:color w:val="auto"/>
          <w:sz w:val="24"/>
          <w:szCs w:val="24"/>
          <w:lang w:val="sr-RS"/>
        </w:rPr>
        <w:t>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78" w:right="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>у</w:t>
      </w:r>
      <w:r>
        <w:rPr>
          <w:rFonts w:ascii="Arial" w:hAnsi="Arial"/>
          <w:sz w:val="24"/>
          <w:szCs w:val="24"/>
        </w:rPr>
        <w:t xml:space="preserve">колико у породичној кући постоји више од једног бројила онда је потребна сагласност свих лица који су власници осталих бројила </w:t>
      </w:r>
      <w:r>
        <w:rPr>
          <w:rFonts w:ascii="Arial" w:hAnsi="Arial"/>
          <w:color w:val="auto"/>
          <w:sz w:val="24"/>
          <w:szCs w:val="24"/>
          <w:lang w:val="sr-RS"/>
        </w:rPr>
        <w:t>(Прилог 1</w:t>
      </w:r>
      <w:r>
        <w:rPr>
          <w:rFonts w:ascii="Arial" w:hAnsi="Arial"/>
          <w:color w:val="auto"/>
          <w:sz w:val="24"/>
          <w:szCs w:val="24"/>
          <w:lang w:val="zxx"/>
        </w:rPr>
        <w:t>4</w:t>
      </w:r>
      <w:r>
        <w:rPr>
          <w:rFonts w:ascii="Arial" w:hAnsi="Arial"/>
          <w:color w:val="auto"/>
          <w:sz w:val="24"/>
          <w:szCs w:val="24"/>
          <w:lang w:val="sr-RS"/>
        </w:rPr>
        <w:t>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78" w:right="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>С</w:t>
      </w:r>
      <w:r>
        <w:rPr>
          <w:rFonts w:ascii="Arial" w:hAnsi="Arial"/>
          <w:sz w:val="24"/>
          <w:szCs w:val="24"/>
          <w:lang w:val="sr-RS"/>
        </w:rPr>
        <w:t>агласност о обради података о личности (Прилог 1</w:t>
      </w:r>
      <w:r>
        <w:rPr>
          <w:rFonts w:ascii="Arial" w:hAnsi="Arial"/>
          <w:sz w:val="24"/>
          <w:szCs w:val="24"/>
          <w:lang w:val="en-US"/>
        </w:rPr>
        <w:t>5</w:t>
      </w:r>
      <w:r>
        <w:rPr>
          <w:rFonts w:ascii="Arial" w:hAnsi="Arial"/>
          <w:sz w:val="24"/>
          <w:szCs w:val="24"/>
          <w:lang w:val="sr-RS"/>
        </w:rPr>
        <w:t>).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95" w:right="0" w:hanging="0"/>
        <w:rPr>
          <w:rFonts w:ascii="Arial" w:hAnsi="Arial"/>
          <w:sz w:val="24"/>
          <w:szCs w:val="24"/>
          <w:highlight w:val="yellow"/>
          <w:lang w:val="sr-RS"/>
        </w:rPr>
      </w:pPr>
      <w:r>
        <w:rPr>
          <w:rFonts w:ascii="Arial" w:hAnsi="Arial"/>
          <w:sz w:val="24"/>
          <w:szCs w:val="24"/>
          <w:highlight w:val="yellow"/>
          <w:lang w:val="sr-RS"/>
        </w:rPr>
      </w:r>
    </w:p>
    <w:p>
      <w:pPr>
        <w:pStyle w:val="Normal"/>
        <w:spacing w:lineRule="auto" w:line="240" w:before="0" w:after="0"/>
        <w:ind w:left="36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VII</w:t>
      </w:r>
      <w:r>
        <w:rPr>
          <w:rFonts w:ascii="Arial" w:hAnsi="Arial"/>
          <w:sz w:val="24"/>
          <w:szCs w:val="24"/>
        </w:rPr>
        <w:t xml:space="preserve"> ПРЕУЗИМАЊЕ ДОКУМЕНТАЦИЈЕ ЗА ЈАВНИ ПОЗИВ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Конкурсна документација за Јавни позив може се преузети на интернет страници Града Зајечара, http://www.zajecar.info/, или лично у просторијама Градске управе града Зајечара, Трг ослобођења бр. 1, на шалтеру бр. 2, Градског информативно-услужног центра и садржи: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Комплетан текст Јавног позива,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 xml:space="preserve">Прилог 1 - за грађане - Пријавни образац и образац о стању породичних кућа 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Прилог 2 - Листа фирми/привредних субјеката са које грађани бирају једну фирму  од које морају да прибаве предрачун са ценом и количином опреме и уградње.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Прилог 3 -  Kритеријуми за избор пројеката.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Прилог 4 - Општи услови за прикључење фотонапонских модула на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836" w:right="0" w:hanging="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 xml:space="preserve">унутрашње инсталације постојећег објекта купца за: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836" w:right="0" w:hanging="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Индивидуална домаћинства са директним мерењем;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sz w:val="24"/>
          <w:szCs w:val="24"/>
        </w:rPr>
        <w:tab/>
        <w:t xml:space="preserve">  Издати од стране Електродистрибуције Србије д.о.о. Београд, 03.12.2021. </w:t>
        <w:tab/>
        <w:t xml:space="preserve">  године.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>Прилог 5 - Брошура Министарства рударства и енергетике „Корак по корак – Како да постану купци – произвођачи електричне енергије“.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Прилог 6 – пример рачуна за електричну енергију са обележеном одобреном снагом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Прилог 7 – модел уговора о потпуном снабдевању са нето мерењем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Прилог 8 - </w:t>
      </w:r>
      <w:r>
        <w:rPr>
          <w:rFonts w:ascii="Arial" w:hAnsi="Arial"/>
          <w:sz w:val="24"/>
          <w:szCs w:val="24"/>
          <w:lang w:val="sr-RS"/>
        </w:rPr>
        <w:t>Изјава о члановима домаћинства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Прилог 9 - </w:t>
      </w:r>
      <w:r>
        <w:rPr>
          <w:rFonts w:ascii="Arial" w:hAnsi="Arial"/>
          <w:sz w:val="24"/>
          <w:szCs w:val="24"/>
          <w:lang w:val="sr-RS"/>
        </w:rPr>
        <w:t>Изјава о коришћењу средстава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sr-RS"/>
        </w:rPr>
        <w:t xml:space="preserve"> </w:t>
      </w:r>
      <w:r>
        <w:rPr>
          <w:rFonts w:ascii="Arial" w:hAnsi="Arial"/>
          <w:sz w:val="24"/>
          <w:szCs w:val="24"/>
          <w:lang w:val="sr-RS"/>
        </w:rPr>
        <w:t>Прилог 10</w:t>
      </w:r>
      <w:r>
        <w:rPr>
          <w:rFonts w:ascii="Arial" w:hAnsi="Arial"/>
          <w:sz w:val="24"/>
          <w:szCs w:val="24"/>
          <w:lang w:val="en-US"/>
        </w:rPr>
        <w:t xml:space="preserve"> – </w:t>
      </w:r>
      <w:r>
        <w:rPr>
          <w:rFonts w:ascii="Arial" w:hAnsi="Arial"/>
          <w:sz w:val="24"/>
          <w:szCs w:val="24"/>
          <w:lang w:val="sr-RS"/>
        </w:rPr>
        <w:t>Потписана изјава о сагласности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sr-RS"/>
        </w:rPr>
        <w:t xml:space="preserve"> </w:t>
      </w:r>
      <w:r>
        <w:rPr>
          <w:rFonts w:ascii="Arial" w:hAnsi="Arial"/>
          <w:sz w:val="24"/>
          <w:szCs w:val="24"/>
          <w:lang w:val="sr-RS"/>
        </w:rPr>
        <w:t>Прилог 11 – Изјава да Град може да прибави за грађанина из катастра потврду о власништву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sr-RS"/>
        </w:rPr>
        <w:t xml:space="preserve"> </w:t>
      </w:r>
      <w:r>
        <w:rPr>
          <w:rFonts w:ascii="Arial" w:hAnsi="Arial"/>
          <w:sz w:val="24"/>
          <w:szCs w:val="24"/>
          <w:lang w:val="sr-RS"/>
        </w:rPr>
        <w:t xml:space="preserve">Прилог 12 – </w:t>
      </w:r>
      <w:r>
        <w:rPr>
          <w:rFonts w:ascii="Arial" w:hAnsi="Arial"/>
          <w:sz w:val="24"/>
          <w:szCs w:val="24"/>
          <w:lang w:val="zxx"/>
        </w:rPr>
        <w:t>С</w:t>
      </w:r>
      <w:r>
        <w:rPr>
          <w:rFonts w:ascii="Arial" w:hAnsi="Arial"/>
          <w:sz w:val="24"/>
          <w:szCs w:val="24"/>
          <w:lang w:val="sr-RS"/>
        </w:rPr>
        <w:t>агласност власника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 xml:space="preserve"> </w:t>
      </w:r>
      <w:r>
        <w:rPr>
          <w:rFonts w:ascii="Arial" w:hAnsi="Arial"/>
          <w:sz w:val="24"/>
          <w:szCs w:val="24"/>
          <w:lang w:val="sr-RS"/>
        </w:rPr>
        <w:t>Прилог 13 – Сагласност сувласника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 xml:space="preserve"> </w:t>
      </w:r>
      <w:r>
        <w:rPr>
          <w:rFonts w:ascii="Arial" w:hAnsi="Arial"/>
          <w:sz w:val="24"/>
          <w:szCs w:val="24"/>
          <w:lang w:val="sr-RS"/>
        </w:rPr>
        <w:t>Прилог 14 – Сагласност власника осталих бројила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  <w:t xml:space="preserve"> </w:t>
      </w:r>
      <w:r>
        <w:rPr>
          <w:rFonts w:ascii="Arial" w:hAnsi="Arial"/>
          <w:sz w:val="24"/>
          <w:szCs w:val="24"/>
          <w:lang w:val="sr-RS"/>
        </w:rPr>
        <w:t>Прилог 15 – Сагласност о обради података о личности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VIII МЕСТО И РОК </w:t>
      </w:r>
      <w:r>
        <w:rPr>
          <w:rFonts w:ascii="Arial" w:hAnsi="Arial"/>
          <w:sz w:val="24"/>
          <w:szCs w:val="24"/>
          <w:lang w:val="zxx"/>
        </w:rPr>
        <w:t>ДОСТАВЉАЊА</w:t>
      </w:r>
      <w:r>
        <w:rPr>
          <w:rFonts w:ascii="Arial" w:hAnsi="Arial"/>
          <w:sz w:val="24"/>
          <w:szCs w:val="24"/>
        </w:rPr>
        <w:t xml:space="preserve"> ПРИЈАВА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ascii="Arial" w:hAnsi="Arial"/>
          <w:sz w:val="24"/>
          <w:szCs w:val="24"/>
        </w:rPr>
        <w:tab/>
        <w:t xml:space="preserve">Рок за подношење пријава је </w:t>
      </w:r>
      <w:r>
        <w:rPr>
          <w:rFonts w:ascii="Arial" w:hAnsi="Arial"/>
          <w:sz w:val="24"/>
          <w:szCs w:val="24"/>
          <w:lang w:val="zxx"/>
        </w:rPr>
        <w:t>30</w:t>
      </w:r>
      <w:r>
        <w:rPr>
          <w:rFonts w:ascii="Arial" w:hAnsi="Arial"/>
          <w:sz w:val="24"/>
          <w:szCs w:val="24"/>
        </w:rPr>
        <w:t xml:space="preserve"> дан</w:t>
      </w:r>
      <w:r>
        <w:rPr>
          <w:rFonts w:ascii="Arial" w:hAnsi="Arial"/>
          <w:sz w:val="24"/>
          <w:szCs w:val="24"/>
          <w:lang w:val="zxx"/>
        </w:rPr>
        <w:t>а</w:t>
      </w:r>
      <w:r>
        <w:rPr>
          <w:rFonts w:ascii="Arial" w:hAnsi="Arial"/>
          <w:sz w:val="24"/>
          <w:szCs w:val="24"/>
        </w:rPr>
        <w:t xml:space="preserve"> од дана објављивања на званичној интернет страници и огласној табли града Зајечара.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 xml:space="preserve">Конкурс је отворен закључно са даном </w:t>
      </w:r>
      <w:r>
        <w:rPr>
          <w:rFonts w:ascii="Arial" w:hAnsi="Arial"/>
          <w:sz w:val="24"/>
          <w:szCs w:val="24"/>
        </w:rPr>
        <w:t>01.12.</w:t>
      </w:r>
      <w:r>
        <w:rPr>
          <w:rFonts w:ascii="Arial" w:hAnsi="Arial"/>
          <w:sz w:val="24"/>
          <w:szCs w:val="24"/>
        </w:rPr>
        <w:t>.2022. године.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>Попуњени, потписани и одштампани пријавни образац у три примерка (један оригинал и две копије) и пратећа документација достављају се у затвореној коверти са назнаком: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„</w:t>
      </w:r>
      <w:r>
        <w:rPr>
          <w:rFonts w:ascii="Arial" w:hAnsi="Arial"/>
          <w:b/>
          <w:bCs/>
          <w:sz w:val="24"/>
          <w:szCs w:val="24"/>
          <w:highlight w:val="white"/>
        </w:rPr>
        <w:t>ПРИЈАВА ЗА ЈАВНИ ПОЗИВ ЗА УЧЕШЋЕ ГРАЂАНА У СПРОВОЋЕЊУ МЕРE ЕНЕРГЕТСКЕ САНАЦИЈЕ ПУТЕМ УГРАДЊЕ СОЛАРНИХ ПАНЕЛА ЗА ПРОИЗВОДЊУ ЕЛЕКТРИЧНЕ ЕНЕРГИЈЕ ЗА СОПСТВЕНЕ ПОТРЕБЕ И УНАПРЕЂЕЊЕ ТЕРМОТЕХНИЧКОГ СИСТЕМА ПУТЕМ УГРАДЊЕ КАЛОРИМЕТАРА, ЦИРКУЛАЦИОНИХ ПУМПИ, ТЕРМОСТАТСКИХ ВЕНТИЛА И ДЕЛИТЕЉА ТОПЛОТЕ</w:t>
      </w:r>
      <w:r>
        <w:rPr>
          <w:rFonts w:ascii="Arial" w:hAnsi="Arial"/>
          <w:b/>
          <w:bCs/>
          <w:sz w:val="24"/>
          <w:szCs w:val="24"/>
        </w:rPr>
        <w:t xml:space="preserve"> - НЕ ОТВАРАТИ”, са пуном адресом пошиљаоца на полеђини коверте.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Пријава се предаје лично на шалтеру бр. 2, Градског информативно-услужног центра, Градске управе града Зајечара, или препоручено поштом на адресу: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Градска управа града Зајечара, Трг ослобођења бр. 1, 19000 Зајечар,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ОДЕЉЕЊЕ ЗА ОБЈЕДИЊЕНЕ ЈАВНЕ НАБАВКЕ И ЛОКАЛНИ ЕКОНОМСКИ РАЗВОЈ / Комисија за реализацију мера енергетске санације.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ab/>
      </w:r>
    </w:p>
    <w:p>
      <w:pPr>
        <w:pStyle w:val="Normal"/>
        <w:spacing w:lineRule="auto" w:line="240" w:before="0" w:after="0"/>
        <w:ind w:left="0" w:right="0" w:firstLine="708"/>
        <w:rPr/>
      </w:pPr>
      <w:r>
        <w:rPr>
          <w:rFonts w:ascii="Arial" w:hAnsi="Arial"/>
          <w:sz w:val="24"/>
          <w:szCs w:val="24"/>
        </w:rPr>
        <w:t xml:space="preserve">За све додатне информације и обавештења у вези Јавног позива можете се обратити на контакт телефон 019/444-600 локал 134 и електронску адресу: e-mail: </w:t>
      </w:r>
      <w:hyperlink r:id="rId4">
        <w:r>
          <w:rPr>
            <w:rStyle w:val="InternetLink"/>
            <w:rFonts w:ascii="Arial" w:hAnsi="Arial"/>
            <w:sz w:val="24"/>
            <w:szCs w:val="24"/>
            <w:u w:val="none"/>
          </w:rPr>
          <w:t>lidija.petkovic</w:t>
        </w:r>
      </w:hyperlink>
      <w:hyperlink r:id="rId5">
        <w:r>
          <w:rPr>
            <w:rStyle w:val="InternetLink"/>
            <w:rFonts w:ascii="Arial" w:hAnsi="Arial"/>
            <w:sz w:val="24"/>
            <w:szCs w:val="24"/>
            <w:u w:val="none"/>
            <w:lang w:val="en-US"/>
          </w:rPr>
          <w:t>@</w:t>
        </w:r>
      </w:hyperlink>
      <w:hyperlink r:id="rId6">
        <w:r>
          <w:rPr>
            <w:rStyle w:val="InternetLink"/>
            <w:rFonts w:ascii="Arial" w:hAnsi="Arial"/>
            <w:sz w:val="24"/>
            <w:szCs w:val="24"/>
            <w:u w:val="none"/>
          </w:rPr>
          <w:t>zajecar.info</w:t>
        </w:r>
      </w:hyperlink>
      <w:r>
        <w:rPr>
          <w:rFonts w:ascii="Arial" w:hAnsi="Arial"/>
          <w:sz w:val="24"/>
          <w:szCs w:val="24"/>
          <w:u w:val="none"/>
        </w:rPr>
        <w:t xml:space="preserve"> и </w:t>
      </w:r>
      <w:hyperlink r:id="rId7">
        <w:r>
          <w:rPr>
            <w:rStyle w:val="InternetLink"/>
            <w:rFonts w:ascii="Arial" w:hAnsi="Arial"/>
            <w:sz w:val="24"/>
            <w:szCs w:val="24"/>
            <w:u w:val="none"/>
          </w:rPr>
          <w:t>dragan.mincic</w:t>
        </w:r>
      </w:hyperlink>
      <w:hyperlink r:id="rId8">
        <w:r>
          <w:rPr>
            <w:rStyle w:val="InternetLink"/>
            <w:rFonts w:ascii="Arial" w:hAnsi="Arial"/>
            <w:sz w:val="24"/>
            <w:szCs w:val="24"/>
            <w:u w:val="none"/>
            <w:lang w:val="en-US"/>
          </w:rPr>
          <w:t>@</w:t>
        </w:r>
      </w:hyperlink>
      <w:hyperlink r:id="rId9">
        <w:r>
          <w:rPr>
            <w:rStyle w:val="InternetLink"/>
            <w:rFonts w:ascii="Arial" w:hAnsi="Arial"/>
            <w:sz w:val="24"/>
            <w:szCs w:val="24"/>
            <w:u w:val="none"/>
          </w:rPr>
          <w:t>zajecar.info</w:t>
        </w:r>
      </w:hyperlink>
      <w:r>
        <w:rPr>
          <w:rFonts w:ascii="Arial" w:hAnsi="Arial"/>
          <w:sz w:val="24"/>
          <w:szCs w:val="24"/>
          <w:u w:val="none"/>
        </w:rPr>
        <w:t xml:space="preserve">. 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>Сва питања и одговори биће објављени на интернет страници Града Зајечара, http://www.zajecar.info/.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Благовременом доставом сматра се препоручена пошиљка предата пошти најкасније до </w:t>
      </w:r>
      <w:r>
        <w:rPr/>
        <w:drawing>
          <wp:inline distT="0" distB="0" distL="0" distR="0">
            <wp:extent cx="14605" cy="14605"/>
            <wp:effectExtent l="0" t="0" r="0" b="0"/>
            <wp:docPr id="3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</w:rPr>
        <w:t xml:space="preserve">истека последњег дана утврђеног рока за предају конкурсне документације (печат поште), без обзира на датум приспећа. </w:t>
      </w:r>
    </w:p>
    <w:p>
      <w:pPr>
        <w:pStyle w:val="Normal"/>
        <w:spacing w:lineRule="auto" w:line="240" w:before="0" w:after="0"/>
        <w:ind w:left="705" w:right="0" w:hanging="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Пријаве послате на било који други начин неће бити узете у разматрање. Неблаговремене и непотпуне пријаве се неће разматрати.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IX КРИТЕРИЈУМИ ЗА ИЗБОР ПРОЈЕКАТА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Критеријуми за избор пројеката су следећи: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 xml:space="preserve">постојеће стање спољних зидова;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 xml:space="preserve">примарни начин грејања;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постојеће карактеристике спољне столарије;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К фактор заузетости површине за породичне куће;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78" w:right="0" w:hanging="360"/>
        <w:jc w:val="left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коришћење субвенција за енергетску санацију (средства Града/Републике)</w:t>
      </w:r>
    </w:p>
    <w:p>
      <w:pPr>
        <w:pStyle w:val="Normal"/>
        <w:spacing w:lineRule="auto" w:line="240" w:before="0" w:after="0"/>
        <w:ind w:left="36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435"/>
        <w:jc w:val="both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Детаљни начин бодовања према наведеним критеријумима је дат у Прилогу 3.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X ОЦЕЊИВАЊЕ, УТВРЂИВАЊЕ ЛИСТЕ И ИЗБОР КРАЈЊИХ КОРИСНИКА</w:t>
      </w:r>
    </w:p>
    <w:p>
      <w:pPr>
        <w:pStyle w:val="ListParagraph"/>
        <w:spacing w:lineRule="auto" w:line="240" w:before="0" w:after="0"/>
        <w:ind w:left="1137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Оцењивање и рангирање пројеката грађана, врши се у складу са Правилником и применом критеријума из одељка IX  Јавног позива.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Пријава ће се сматрати неуредном ако у достављеној писаној форми недостаје било који документ из одељка V</w:t>
      </w:r>
      <w:bookmarkStart w:id="1" w:name="__DdeLink__1005_2191340079"/>
      <w:r>
        <w:rPr>
          <w:rFonts w:ascii="Arial" w:hAnsi="Arial"/>
          <w:sz w:val="24"/>
          <w:szCs w:val="24"/>
          <w:lang w:val="sr-RS"/>
        </w:rPr>
        <w:t>I</w:t>
      </w:r>
      <w:bookmarkEnd w:id="1"/>
      <w:r>
        <w:rPr>
          <w:rFonts w:ascii="Arial" w:hAnsi="Arial"/>
          <w:sz w:val="24"/>
          <w:szCs w:val="24"/>
          <w:lang w:val="sr-RS"/>
        </w:rPr>
        <w:t>I</w:t>
      </w:r>
      <w:r>
        <w:rPr>
          <w:rFonts w:ascii="Arial" w:hAnsi="Arial"/>
          <w:sz w:val="24"/>
          <w:szCs w:val="24"/>
        </w:rPr>
        <w:t xml:space="preserve"> Јавног позива и у том случају решењем ће бити одбачена.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>Пријаве са документацијом чија садржина није у складу са Јавним позивом се не оцењују и решењем ће бити одбијене.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Комисија разматра пријаве и у складу са условима  из одељка </w:t>
      </w:r>
      <w:r>
        <w:rPr>
          <w:rFonts w:ascii="Arial" w:hAnsi="Arial"/>
          <w:sz w:val="24"/>
          <w:szCs w:val="24"/>
          <w:lang w:val="sr-RS"/>
        </w:rPr>
        <w:t>III</w:t>
      </w:r>
      <w:r>
        <w:rPr>
          <w:rFonts w:ascii="Arial" w:hAnsi="Arial"/>
          <w:sz w:val="24"/>
          <w:szCs w:val="24"/>
        </w:rPr>
        <w:t xml:space="preserve"> Јавног позива, утврђује посебну прелиминарну ранг листу крајњих корисника за </w:t>
      </w:r>
      <w:r>
        <w:rPr>
          <w:rFonts w:ascii="Arial" w:hAnsi="Arial"/>
          <w:bCs/>
          <w:sz w:val="24"/>
          <w:szCs w:val="24"/>
        </w:rPr>
        <w:t xml:space="preserve">меру из одељка </w:t>
      </w:r>
      <w:r>
        <w:rPr>
          <w:rFonts w:ascii="Arial" w:hAnsi="Arial"/>
          <w:bCs/>
          <w:sz w:val="24"/>
          <w:szCs w:val="24"/>
          <w:lang w:val="en-US"/>
        </w:rPr>
        <w:t xml:space="preserve">I. </w:t>
      </w:r>
      <w:r>
        <w:rPr>
          <w:rFonts w:ascii="Arial" w:hAnsi="Arial"/>
          <w:bCs/>
          <w:sz w:val="24"/>
          <w:szCs w:val="24"/>
        </w:rPr>
        <w:t>став 1. тачка 1. Ј</w:t>
      </w:r>
      <w:r>
        <w:rPr>
          <w:rFonts w:ascii="Arial" w:hAnsi="Arial"/>
          <w:sz w:val="24"/>
          <w:szCs w:val="24"/>
        </w:rPr>
        <w:t xml:space="preserve">авног позива, а посебно за мере </w:t>
      </w:r>
      <w:r>
        <w:rPr>
          <w:rFonts w:ascii="Arial" w:hAnsi="Arial"/>
          <w:bCs/>
          <w:sz w:val="24"/>
          <w:szCs w:val="24"/>
        </w:rPr>
        <w:t xml:space="preserve">из одељка </w:t>
      </w:r>
      <w:r>
        <w:rPr>
          <w:rFonts w:ascii="Arial" w:hAnsi="Arial"/>
          <w:bCs/>
          <w:sz w:val="24"/>
          <w:szCs w:val="24"/>
          <w:lang w:val="en-US"/>
        </w:rPr>
        <w:t xml:space="preserve">I. </w:t>
      </w:r>
      <w:r>
        <w:rPr>
          <w:rFonts w:ascii="Arial" w:hAnsi="Arial"/>
          <w:bCs/>
          <w:sz w:val="24"/>
          <w:szCs w:val="24"/>
        </w:rPr>
        <w:t xml:space="preserve">став 1. тач. 2. и 3. Јавног позива </w:t>
      </w:r>
      <w:r>
        <w:rPr>
          <w:rFonts w:ascii="Arial" w:hAnsi="Arial"/>
          <w:sz w:val="24"/>
          <w:szCs w:val="24"/>
        </w:rPr>
        <w:t xml:space="preserve"> на основу бодовања према критеријумима из одељка </w:t>
      </w:r>
      <w:r>
        <w:rPr>
          <w:rFonts w:ascii="Arial" w:hAnsi="Arial"/>
          <w:sz w:val="24"/>
          <w:szCs w:val="24"/>
          <w:lang w:val="en-US"/>
        </w:rPr>
        <w:t xml:space="preserve">IX </w:t>
      </w:r>
      <w:r>
        <w:rPr>
          <w:rFonts w:ascii="Arial" w:hAnsi="Arial"/>
          <w:sz w:val="24"/>
          <w:szCs w:val="24"/>
        </w:rPr>
        <w:t>Јавног позива.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У току поступка оцене и избора пројеката Комисија може да од подносиоца пријаве, према потреби, затражи додатну документацију и информације.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Листе из става 4. овог одељка Комисија објављује на огласној табли града Зајечара и званичној интернет страници града Зајечара.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Подносиоци пријава имају право увида у поднете пријаве и приложену документацију по утврђивању листа из става 4. овог одељка у року од три дана од дана објављивања листе.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 листе из става 4. овог одељка подносиоци пријава имају право приговора Комисији у року од осам дана од дана њеног објављивања. Приговор се подноси на шалтеру бр. 2, Градског информативно-услужног центра, Градске управе града Зајечара.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Комисија је дужна да размотри поднете приговоре на листе из става 4. овог одељка као и да донесе одлуку о приговору, која мора бити образложена, у року од 15 дана од дана његовог пријема и на основу донетих одлука донесе ревидиране прелиминарне листе.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На основу листа из става 9. овог одељка Комисија врши теренски обилазак ради увида у стање стамбених објеката, са тих листа закључно са редним бројем подносиоца пријаве до којег су обезбеђена укупна средства за субвенционисање.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 w:color="000000"/>
        </w:rPr>
        <w:t xml:space="preserve">Уколико је Комисија приликом теренског обиласка из става 10. овог одељка утврдила да је подносилац пријаве дао неистините податке у пријави Комисија га елиминише из ревидиране прелиминарне листе и уместо </w:t>
      </w:r>
      <w:r>
        <w:rPr>
          <w:rFonts w:ascii="Arial" w:hAnsi="Arial"/>
          <w:sz w:val="24"/>
          <w:szCs w:val="24"/>
          <w:u w:val="single"/>
        </w:rPr>
        <w:t>њега врши теренски</w:t>
      </w:r>
      <w:r>
        <w:rPr>
          <w:rFonts w:ascii="Arial" w:hAnsi="Arial"/>
          <w:sz w:val="24"/>
          <w:szCs w:val="24"/>
          <w:u w:val="single" w:color="000000"/>
        </w:rPr>
        <w:t xml:space="preserve"> обилазак првог следећег на листи за којег нису обезбеђена средства на основу прелиминарне листе.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Приликом теренског обиласка уз обавезно присуство подносиоца захтева, Комисија сачињава записник у два примерка, при чему један остаје подносиоцу пријаве, а један задржава Комисија. 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 основу записника из става 12. овог одељка Комисија сачињава коначне листе крајњих корисника.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Листе из става 13. овог одељка Комисија објављује на огласној табли Града и званичној интернет страници Града.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 листе из става 13. овог одељка подносиоци пријава код којих је извршен теренски обилазак, имају право приговора Комисији у року од осам дана од дана објављивања коначних листа крајњих корисника. Приговор се подноси на писарници Градске управе града Зајечара.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Комисија је дужна да одлучи по приговорима из става 15. овог одељка у року од 15 дана од дана пријема приговора и након одлучивања по свим приговорима сачини коначне листе крајњих корисника.</w:t>
      </w:r>
    </w:p>
    <w:p>
      <w:pPr>
        <w:pStyle w:val="Normal"/>
        <w:spacing w:lineRule="auto" w:line="240" w:before="0" w:after="0"/>
        <w:ind w:left="0" w:right="0" w:firstLine="708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Градско веће града Зајечара доноси Одлуку о додели бесповратних средстава грађанима за спровођење мера енергетске санације.</w:t>
      </w:r>
    </w:p>
    <w:p>
      <w:pPr>
        <w:pStyle w:val="Normal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X</w:t>
      </w:r>
      <w:r>
        <w:rPr>
          <w:rFonts w:ascii="Arial" w:hAnsi="Arial"/>
          <w:sz w:val="24"/>
          <w:szCs w:val="24"/>
          <w:lang w:val="en-US"/>
        </w:rPr>
        <w:t>I</w:t>
      </w:r>
      <w:r>
        <w:rPr>
          <w:rFonts w:ascii="Arial" w:hAnsi="Arial"/>
          <w:sz w:val="24"/>
          <w:szCs w:val="24"/>
        </w:rPr>
        <w:t xml:space="preserve"> НАЧИН РЕАЛИЗАЦИЈЕ ДОДЕЉЕНИХ СРЕДСТАВА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>Град ће вршити пренос средстава искључиво привредним субјектима -  извођачима радова, а не домаћинствима, након што грађанин изврши целокупну уплату извођачу радова и након завршетка реализације мере.</w:t>
      </w:r>
    </w:p>
    <w:p>
      <w:pPr>
        <w:pStyle w:val="Normal"/>
        <w:spacing w:lineRule="auto" w:line="240" w:before="0" w:after="0"/>
        <w:ind w:left="61" w:right="0" w:firstLine="612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Услов да се пренесу средства извођачу радова је потврда Комисије да су радови изведени како је предвиђено предмером и предрачуном који је грађанин предао када се пријавио за меру као и у складу са записником Комисије приликом првог изласка.</w:t>
      </w:r>
    </w:p>
    <w:p>
      <w:pPr>
        <w:pStyle w:val="Normal"/>
        <w:spacing w:lineRule="auto" w:line="240" w:before="0" w:after="0"/>
        <w:ind w:left="61" w:right="0" w:firstLine="61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Грађанин мора имати уредну документацију (рачуне и атесте) које ће доставити надлежној Комисији.</w:t>
      </w:r>
    </w:p>
    <w:p>
      <w:pPr>
        <w:pStyle w:val="Normal"/>
        <w:spacing w:lineRule="auto" w:line="240" w:before="0" w:after="0"/>
        <w:ind w:left="61" w:right="0" w:firstLine="612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Град ће вршити пренос средстава изабраним извођачима радова у складу са закљученим уговором. Грађанин ће сам сносити трошкове изведених радова који буду већи од износа субвенције наведене у одељку I (максималног износа бесповратних средстава Града).</w:t>
      </w:r>
    </w:p>
    <w:p>
      <w:pPr>
        <w:pStyle w:val="Normal"/>
        <w:spacing w:lineRule="auto" w:line="240" w:before="0" w:after="0"/>
        <w:ind w:left="61" w:right="0" w:firstLine="612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Контролу извршења уговорених обавеза извршиће надлежни органи који су задужени за урбанизам односно заштиту животне средине, у сарадњи са Комисијом.</w:t>
      </w:r>
    </w:p>
    <w:p>
      <w:pPr>
        <w:pStyle w:val="Normal"/>
        <w:spacing w:lineRule="auto" w:line="240" w:before="0" w:after="0"/>
        <w:ind w:left="61" w:right="0" w:firstLine="61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Уколико грађанин није средства наменски утрошио, или радови нису изведени у складу са предмером и предрачуном који је грађанин</w:t>
      </w:r>
      <w:r>
        <w:rPr>
          <w:rFonts w:ascii="Arial" w:hAnsi="Arial"/>
          <w:color w:val="FF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поднео приликом пријаве, Град неће уплатити средства додељена јавним конкурсом.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  <w:tab/>
        <w:t>Уколико из неког разлога г</w:t>
      </w:r>
      <w:r>
        <w:rPr>
          <w:rFonts w:ascii="Arial" w:hAnsi="Arial"/>
          <w:sz w:val="24"/>
          <w:szCs w:val="24"/>
        </w:rPr>
        <w:t>рађанин</w:t>
      </w:r>
      <w:r>
        <w:rPr>
          <w:rFonts w:ascii="Arial" w:hAnsi="Arial"/>
          <w:color w:val="FF0000"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не може да реализује набавку од одабраног извођача радова, има право да изврши набавку од другог са листе и да о томе, пре реализације набавке, обавести Комисију и достави јој нову профактуру/предрачун, с тим да износ не може бити већи од одобреног.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Саставни део уговора за меру уградње соларних панела  је технички извештај/елаборат издат од стране изабраног привредног субјекта (извођача радова) који садржи шему и технички опис инсталације соларних панела, као и изјаву да се на постојећи кров могу поставити соларни панели и да се на унутрашњу инсталацију могу уградити соларни панели. Извештај/елаборат мора садржати све елементе неопходне за издавање Акта о прикључењу од стране ОДС-а.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Након завршетка радова за меру уградње соларних панела  потребно је да грађанин достави Комисији, доказ о уплати (признаница/рачун) целокупног сопственог удела у финансирању радова на уградњи соларних панела и остале инсталације  привредном субјекту (извођачу радова).</w:t>
      </w:r>
    </w:p>
    <w:p>
      <w:pPr>
        <w:pStyle w:val="Normal"/>
        <w:widowControl/>
        <w:bidi w:val="0"/>
        <w:spacing w:lineRule="auto" w:line="276" w:before="120" w:after="120"/>
        <w:ind w:left="61" w:right="-15" w:hanging="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Услови да Град пренесе средства субвенције привредном субјекту (извођачу радова)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за меру уградње соларних панела  су:</w:t>
      </w:r>
    </w:p>
    <w:p>
      <w:pPr>
        <w:pStyle w:val="ListParagraph"/>
        <w:widowControl/>
        <w:numPr>
          <w:ilvl w:val="0"/>
          <w:numId w:val="7"/>
        </w:numPr>
        <w:bidi w:val="0"/>
        <w:spacing w:lineRule="auto" w:line="276" w:before="120" w:after="120"/>
        <w:ind w:left="1437" w:right="0" w:hanging="360"/>
        <w:jc w:val="both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Потврда Комисије да су радови изведени како је предвиђено предмером и предрачуном који је грађанин предао када се пријавио на јавни позив.</w:t>
      </w:r>
    </w:p>
    <w:p>
      <w:pPr>
        <w:pStyle w:val="ListParagraph"/>
        <w:widowControl/>
        <w:numPr>
          <w:ilvl w:val="0"/>
          <w:numId w:val="7"/>
        </w:numPr>
        <w:bidi w:val="0"/>
        <w:spacing w:lineRule="auto" w:line="276" w:before="120" w:after="120"/>
        <w:ind w:left="1437" w:right="0" w:hanging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xx"/>
        </w:rPr>
        <w:t xml:space="preserve">Да је грађанин потписао уговор о потпуном снабдевању са нето мерењем са ЕПС снабдевањем. </w:t>
      </w:r>
    </w:p>
    <w:p>
      <w:pPr>
        <w:pStyle w:val="ListParagraph"/>
        <w:widowControl/>
        <w:numPr>
          <w:ilvl w:val="0"/>
          <w:numId w:val="7"/>
        </w:numPr>
        <w:bidi w:val="0"/>
        <w:spacing w:lineRule="auto" w:line="276" w:before="120" w:after="120"/>
        <w:ind w:left="1437" w:right="0" w:hanging="360"/>
        <w:jc w:val="both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>Да ОДС изда Акт о прикључењу, прикључи купца-произвођача на дистрибутивни систем  и упише га у регистар купца-произвођача.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Уколико привредни субјекат није средства наменски утрошио, или радови нису изведени у складу са предрачуном који је грађанин поднео приликом пријаве, Град неће уплатити средства додељена јавним позивом.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>Контролу извршења уговорених обавеза извршиће Комисија.</w:t>
      </w:r>
    </w:p>
    <w:p>
      <w:pPr>
        <w:pStyle w:val="Normal"/>
        <w:spacing w:lineRule="auto" w:line="240" w:before="0" w:after="0"/>
        <w:ind w:left="0" w:right="0" w:hanging="0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</w:rPr>
        <w:tab/>
        <w:t>Уколико из неког разлога грађанин не може да реализује набавку од одабраног привредног субјекта, има право да изврши набавку од другог са листе и да о томе, пре реализације набавке, обавести Комисију и достави нову профактуру/предрачун, с тим да износ субвенције не може бити већи од одобреног.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58" w:right="0" w:hanging="0"/>
        <w:rPr>
          <w:rFonts w:ascii="Arial" w:hAnsi="Arial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III </w:t>
      </w:r>
      <w:r>
        <w:rPr>
          <w:rFonts w:ascii="Arial" w:hAnsi="Arial"/>
          <w:sz w:val="24"/>
          <w:szCs w:val="24"/>
          <w:lang w:val="sr-RS"/>
        </w:rPr>
        <w:t xml:space="preserve">бр. </w:t>
      </w:r>
      <w:r>
        <w:rPr>
          <w:rFonts w:ascii="Arial" w:hAnsi="Arial"/>
          <w:sz w:val="24"/>
          <w:szCs w:val="24"/>
          <w:lang w:val="en-US"/>
        </w:rPr>
        <w:t>011</w:t>
      </w:r>
      <w:r>
        <w:rPr>
          <w:rFonts w:ascii="Arial" w:hAnsi="Arial"/>
          <w:sz w:val="24"/>
          <w:szCs w:val="24"/>
          <w:lang w:val="sr-RS"/>
        </w:rPr>
        <w:t>-</w:t>
      </w:r>
      <w:r>
        <w:rPr>
          <w:rFonts w:ascii="Arial" w:hAnsi="Arial"/>
          <w:sz w:val="24"/>
          <w:szCs w:val="24"/>
          <w:lang w:val="en-US"/>
        </w:rPr>
        <w:t>34</w:t>
      </w:r>
      <w:r>
        <w:rPr>
          <w:rFonts w:ascii="Arial" w:hAnsi="Arial"/>
          <w:sz w:val="24"/>
          <w:szCs w:val="24"/>
          <w:lang w:val="sr-RS"/>
        </w:rPr>
        <w:t>/</w:t>
      </w:r>
      <w:r>
        <w:rPr>
          <w:rFonts w:ascii="Arial" w:hAnsi="Arial"/>
          <w:sz w:val="24"/>
          <w:szCs w:val="24"/>
          <w:lang w:val="en-US"/>
        </w:rPr>
        <w:t>2022-1</w:t>
      </w:r>
    </w:p>
    <w:p>
      <w:pPr>
        <w:pStyle w:val="Normal"/>
        <w:ind w:left="58" w:right="0" w:hanging="0"/>
        <w:rPr>
          <w:rFonts w:ascii="Arial" w:hAnsi="Arial"/>
          <w:sz w:val="24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</w:r>
    </w:p>
    <w:p>
      <w:pPr>
        <w:pStyle w:val="Normal"/>
        <w:ind w:left="58" w:right="0" w:hanging="0"/>
        <w:rPr>
          <w:rFonts w:ascii="Arial" w:hAnsi="Arial"/>
          <w:lang w:val="en-US"/>
        </w:rPr>
      </w:pPr>
      <w:r>
        <w:rPr>
          <w:rFonts w:ascii="Arial" w:hAnsi="Arial"/>
          <w:sz w:val="24"/>
          <w:szCs w:val="24"/>
          <w:lang w:val="sr-RS"/>
        </w:rPr>
        <w:t xml:space="preserve">У Зајечару, </w:t>
      </w:r>
      <w:r>
        <w:rPr>
          <w:rFonts w:ascii="Arial" w:hAnsi="Arial"/>
          <w:sz w:val="24"/>
          <w:szCs w:val="24"/>
          <w:lang w:val="en-US"/>
        </w:rPr>
        <w:t>01</w:t>
      </w:r>
      <w:r>
        <w:rPr>
          <w:rFonts w:ascii="Arial" w:hAnsi="Arial"/>
          <w:sz w:val="24"/>
          <w:szCs w:val="24"/>
          <w:lang w:val="sr-RS"/>
        </w:rPr>
        <w:t>.</w:t>
      </w:r>
      <w:r>
        <w:rPr>
          <w:rFonts w:ascii="Arial" w:hAnsi="Arial"/>
          <w:sz w:val="24"/>
          <w:szCs w:val="24"/>
          <w:lang w:val="en-US"/>
        </w:rPr>
        <w:t>11</w:t>
      </w:r>
      <w:r>
        <w:rPr>
          <w:rFonts w:ascii="Arial" w:hAnsi="Arial"/>
          <w:sz w:val="24"/>
          <w:szCs w:val="24"/>
          <w:lang w:val="sr-RS"/>
        </w:rPr>
        <w:t>.2022. године</w:t>
      </w:r>
    </w:p>
    <w:p>
      <w:pPr>
        <w:pStyle w:val="Normal"/>
        <w:ind w:left="58" w:right="0" w:hanging="0"/>
        <w:rPr>
          <w:rFonts w:ascii="Arial" w:hAnsi="Arial"/>
          <w:sz w:val="24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</w:r>
    </w:p>
    <w:p>
      <w:pPr>
        <w:pStyle w:val="Normal"/>
        <w:ind w:left="58" w:right="0" w:hanging="0"/>
        <w:jc w:val="center"/>
        <w:rPr>
          <w:rFonts w:ascii="Arial" w:hAnsi="Arial"/>
          <w:b/>
          <w:b/>
          <w:bCs/>
          <w:lang w:val="en-US"/>
        </w:rPr>
      </w:pPr>
      <w:r>
        <w:rPr>
          <w:rFonts w:ascii="Arial" w:hAnsi="Arial"/>
          <w:b/>
          <w:bCs/>
          <w:sz w:val="24"/>
          <w:szCs w:val="24"/>
          <w:lang w:val="sr-RS"/>
        </w:rPr>
        <w:t>ГРАДСКО ВЕЋЕ ГРАДА ЗАЈЕЧАРА</w:t>
      </w:r>
    </w:p>
    <w:p>
      <w:pPr>
        <w:pStyle w:val="Normal"/>
        <w:ind w:left="58" w:right="0" w:hanging="0"/>
        <w:jc w:val="center"/>
        <w:rPr>
          <w:rFonts w:ascii="Arial" w:hAnsi="Arial"/>
          <w:sz w:val="24"/>
          <w:szCs w:val="24"/>
          <w:lang w:val="sr-RS"/>
        </w:rPr>
      </w:pPr>
      <w:r>
        <w:rPr>
          <w:rFonts w:ascii="Arial" w:hAnsi="Arial"/>
          <w:sz w:val="24"/>
          <w:szCs w:val="24"/>
          <w:lang w:val="sr-RS"/>
        </w:rPr>
      </w:r>
    </w:p>
    <w:p>
      <w:pPr>
        <w:pStyle w:val="Normal"/>
        <w:ind w:left="58" w:right="0" w:hanging="0"/>
        <w:jc w:val="center"/>
        <w:rPr>
          <w:rFonts w:ascii="Arial" w:hAnsi="Arial"/>
          <w:b/>
          <w:b/>
          <w:bCs/>
          <w:lang w:val="en-US"/>
        </w:rPr>
      </w:pPr>
      <w:r>
        <w:rPr>
          <w:rFonts w:ascii="Arial" w:hAnsi="Arial"/>
          <w:b/>
          <w:bCs/>
          <w:sz w:val="24"/>
          <w:szCs w:val="24"/>
          <w:lang w:val="sr-RS"/>
        </w:rPr>
        <w:tab/>
        <w:tab/>
        <w:tab/>
        <w:tab/>
        <w:tab/>
        <w:tab/>
        <w:tab/>
        <w:t xml:space="preserve">            ПРЕДСЕДНИК</w:t>
      </w:r>
    </w:p>
    <w:p>
      <w:pPr>
        <w:pStyle w:val="Normal"/>
        <w:ind w:left="58" w:right="0" w:hanging="0"/>
        <w:jc w:val="center"/>
        <w:rPr>
          <w:rFonts w:ascii="Arial" w:hAnsi="Arial"/>
          <w:b/>
          <w:b/>
          <w:bCs/>
          <w:lang w:val="en-US"/>
        </w:rPr>
      </w:pPr>
      <w:r>
        <w:rPr>
          <w:rFonts w:ascii="Arial" w:hAnsi="Arial"/>
          <w:b/>
          <w:bCs/>
          <w:sz w:val="24"/>
          <w:szCs w:val="24"/>
          <w:lang w:val="sr-RS"/>
        </w:rPr>
        <w:tab/>
        <w:tab/>
        <w:tab/>
        <w:tab/>
      </w:r>
    </w:p>
    <w:p>
      <w:pPr>
        <w:pStyle w:val="Normal"/>
        <w:spacing w:before="0" w:after="5"/>
        <w:ind w:left="58" w:right="0" w:hanging="0"/>
        <w:jc w:val="center"/>
        <w:rPr/>
      </w:pPr>
      <w:r>
        <w:rPr>
          <w:rFonts w:ascii="Arial" w:hAnsi="Arial"/>
          <w:b w:val="false"/>
          <w:bCs w:val="false"/>
          <w:sz w:val="24"/>
          <w:szCs w:val="24"/>
          <w:lang w:val="sr-RS"/>
        </w:rPr>
        <w:tab/>
        <w:tab/>
        <w:tab/>
        <w:tab/>
        <w:t xml:space="preserve">                                             Бошко Ничић</w:t>
      </w:r>
    </w:p>
    <w:sectPr>
      <w:type w:val="nextPage"/>
      <w:pgSz w:w="11906" w:h="16838"/>
      <w:pgMar w:left="1417" w:right="1144" w:header="0" w:top="1296" w:footer="0" w:bottom="129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1062"/>
        </w:tabs>
        <w:ind w:left="1062" w:hanging="360"/>
      </w:pPr>
    </w:lvl>
    <w:lvl w:ilvl="2">
      <w:start w:val="1"/>
      <w:numFmt w:val="decimal"/>
      <w:lvlText w:val="%3."/>
      <w:lvlJc w:val="left"/>
      <w:pPr>
        <w:tabs>
          <w:tab w:val="num" w:pos="1422"/>
        </w:tabs>
        <w:ind w:left="1422" w:hanging="360"/>
      </w:pPr>
    </w:lvl>
    <w:lvl w:ilvl="3">
      <w:start w:val="1"/>
      <w:numFmt w:val="decimal"/>
      <w:lvlText w:val="%4."/>
      <w:lvlJc w:val="left"/>
      <w:pPr>
        <w:tabs>
          <w:tab w:val="num" w:pos="1782"/>
        </w:tabs>
        <w:ind w:left="1782" w:hanging="360"/>
      </w:pPr>
    </w:lvl>
    <w:lvl w:ilvl="4">
      <w:start w:val="1"/>
      <w:numFmt w:val="decimal"/>
      <w:lvlText w:val="%5."/>
      <w:lvlJc w:val="left"/>
      <w:pPr>
        <w:tabs>
          <w:tab w:val="num" w:pos="2142"/>
        </w:tabs>
        <w:ind w:left="2142" w:hanging="360"/>
      </w:pPr>
    </w:lvl>
    <w:lvl w:ilvl="5">
      <w:start w:val="1"/>
      <w:numFmt w:val="decimal"/>
      <w:lvlText w:val="%6."/>
      <w:lvlJc w:val="left"/>
      <w:pPr>
        <w:tabs>
          <w:tab w:val="num" w:pos="2502"/>
        </w:tabs>
        <w:ind w:left="2502" w:hanging="360"/>
      </w:pPr>
    </w:lvl>
    <w:lvl w:ilvl="6">
      <w:start w:val="1"/>
      <w:numFmt w:val="decimal"/>
      <w:lvlText w:val="%7."/>
      <w:lvlJc w:val="left"/>
      <w:pPr>
        <w:tabs>
          <w:tab w:val="num" w:pos="2862"/>
        </w:tabs>
        <w:ind w:left="2862" w:hanging="360"/>
      </w:pPr>
    </w:lvl>
    <w:lvl w:ilvl="7">
      <w:start w:val="1"/>
      <w:numFmt w:val="decimal"/>
      <w:lvlText w:val="%8."/>
      <w:lvlJc w:val="left"/>
      <w:pPr>
        <w:tabs>
          <w:tab w:val="num" w:pos="3222"/>
        </w:tabs>
        <w:ind w:left="3222" w:hanging="360"/>
      </w:pPr>
    </w:lvl>
    <w:lvl w:ilvl="8">
      <w:start w:val="1"/>
      <w:numFmt w:val="decimal"/>
      <w:lvlText w:val="%9."/>
      <w:lvlJc w:val="left"/>
      <w:pPr>
        <w:tabs>
          <w:tab w:val="num" w:pos="3582"/>
        </w:tabs>
        <w:ind w:left="3582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>
      <w:start w:val="1"/>
      <w:numFmt w:val="decimal"/>
      <w:lvlText w:val="%2."/>
      <w:lvlJc w:val="left"/>
      <w:pPr>
        <w:tabs>
          <w:tab w:val="num" w:pos="1138"/>
        </w:tabs>
        <w:ind w:left="1138" w:hanging="360"/>
      </w:pPr>
    </w:lvl>
    <w:lvl w:ilvl="2">
      <w:start w:val="1"/>
      <w:numFmt w:val="decimal"/>
      <w:lvlText w:val="%3."/>
      <w:lvlJc w:val="left"/>
      <w:pPr>
        <w:tabs>
          <w:tab w:val="num" w:pos="1498"/>
        </w:tabs>
        <w:ind w:left="1498" w:hanging="36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360"/>
      </w:pPr>
    </w:lvl>
    <w:lvl w:ilvl="4">
      <w:start w:val="1"/>
      <w:numFmt w:val="decimal"/>
      <w:lvlText w:val="%5."/>
      <w:lvlJc w:val="left"/>
      <w:pPr>
        <w:tabs>
          <w:tab w:val="num" w:pos="2218"/>
        </w:tabs>
        <w:ind w:left="2218" w:hanging="360"/>
      </w:pPr>
    </w:lvl>
    <w:lvl w:ilvl="5">
      <w:start w:val="1"/>
      <w:numFmt w:val="decimal"/>
      <w:lvlText w:val="%6."/>
      <w:lvlJc w:val="left"/>
      <w:pPr>
        <w:tabs>
          <w:tab w:val="num" w:pos="2578"/>
        </w:tabs>
        <w:ind w:left="2578" w:hanging="360"/>
      </w:pPr>
    </w:lvl>
    <w:lvl w:ilvl="6">
      <w:start w:val="1"/>
      <w:numFmt w:val="decimal"/>
      <w:lvlText w:val="%7."/>
      <w:lvlJc w:val="left"/>
      <w:pPr>
        <w:tabs>
          <w:tab w:val="num" w:pos="2938"/>
        </w:tabs>
        <w:ind w:left="2938" w:hanging="360"/>
      </w:pPr>
    </w:lvl>
    <w:lvl w:ilvl="7">
      <w:start w:val="1"/>
      <w:numFmt w:val="decimal"/>
      <w:lvlText w:val="%8."/>
      <w:lvlJc w:val="left"/>
      <w:pPr>
        <w:tabs>
          <w:tab w:val="num" w:pos="3298"/>
        </w:tabs>
        <w:ind w:left="3298" w:hanging="360"/>
      </w:pPr>
    </w:lvl>
    <w:lvl w:ilvl="8">
      <w:start w:val="1"/>
      <w:numFmt w:val="decimal"/>
      <w:lvlText w:val="%9."/>
      <w:lvlJc w:val="left"/>
      <w:pPr>
        <w:tabs>
          <w:tab w:val="num" w:pos="3658"/>
        </w:tabs>
        <w:ind w:left="3658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>
      <w:start w:val="1"/>
      <w:numFmt w:val="decimal"/>
      <w:lvlText w:val="%2."/>
      <w:lvlJc w:val="left"/>
      <w:pPr>
        <w:tabs>
          <w:tab w:val="num" w:pos="1138"/>
        </w:tabs>
        <w:ind w:left="1138" w:hanging="360"/>
      </w:pPr>
    </w:lvl>
    <w:lvl w:ilvl="2">
      <w:start w:val="1"/>
      <w:numFmt w:val="decimal"/>
      <w:lvlText w:val="%3."/>
      <w:lvlJc w:val="left"/>
      <w:pPr>
        <w:tabs>
          <w:tab w:val="num" w:pos="1498"/>
        </w:tabs>
        <w:ind w:left="1498" w:hanging="36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360"/>
      </w:pPr>
    </w:lvl>
    <w:lvl w:ilvl="4">
      <w:start w:val="1"/>
      <w:numFmt w:val="decimal"/>
      <w:lvlText w:val="%5."/>
      <w:lvlJc w:val="left"/>
      <w:pPr>
        <w:tabs>
          <w:tab w:val="num" w:pos="2218"/>
        </w:tabs>
        <w:ind w:left="2218" w:hanging="360"/>
      </w:pPr>
    </w:lvl>
    <w:lvl w:ilvl="5">
      <w:start w:val="1"/>
      <w:numFmt w:val="decimal"/>
      <w:lvlText w:val="%6."/>
      <w:lvlJc w:val="left"/>
      <w:pPr>
        <w:tabs>
          <w:tab w:val="num" w:pos="2578"/>
        </w:tabs>
        <w:ind w:left="2578" w:hanging="360"/>
      </w:pPr>
    </w:lvl>
    <w:lvl w:ilvl="6">
      <w:start w:val="1"/>
      <w:numFmt w:val="decimal"/>
      <w:lvlText w:val="%7."/>
      <w:lvlJc w:val="left"/>
      <w:pPr>
        <w:tabs>
          <w:tab w:val="num" w:pos="2938"/>
        </w:tabs>
        <w:ind w:left="2938" w:hanging="360"/>
      </w:pPr>
    </w:lvl>
    <w:lvl w:ilvl="7">
      <w:start w:val="1"/>
      <w:numFmt w:val="decimal"/>
      <w:lvlText w:val="%8."/>
      <w:lvlJc w:val="left"/>
      <w:pPr>
        <w:tabs>
          <w:tab w:val="num" w:pos="3298"/>
        </w:tabs>
        <w:ind w:left="3298" w:hanging="360"/>
      </w:pPr>
    </w:lvl>
    <w:lvl w:ilvl="8">
      <w:start w:val="1"/>
      <w:numFmt w:val="decimal"/>
      <w:lvlText w:val="%9."/>
      <w:lvlJc w:val="left"/>
      <w:pPr>
        <w:tabs>
          <w:tab w:val="num" w:pos="3658"/>
        </w:tabs>
        <w:ind w:left="3658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>
      <w:start w:val="1"/>
      <w:numFmt w:val="decimal"/>
      <w:lvlText w:val="%2."/>
      <w:lvlJc w:val="left"/>
      <w:pPr>
        <w:tabs>
          <w:tab w:val="num" w:pos="1138"/>
        </w:tabs>
        <w:ind w:left="1138" w:hanging="360"/>
      </w:pPr>
    </w:lvl>
    <w:lvl w:ilvl="2">
      <w:start w:val="1"/>
      <w:numFmt w:val="decimal"/>
      <w:lvlText w:val="%3."/>
      <w:lvlJc w:val="left"/>
      <w:pPr>
        <w:tabs>
          <w:tab w:val="num" w:pos="1498"/>
        </w:tabs>
        <w:ind w:left="1498" w:hanging="36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360"/>
      </w:pPr>
    </w:lvl>
    <w:lvl w:ilvl="4">
      <w:start w:val="1"/>
      <w:numFmt w:val="decimal"/>
      <w:lvlText w:val="%5."/>
      <w:lvlJc w:val="left"/>
      <w:pPr>
        <w:tabs>
          <w:tab w:val="num" w:pos="2218"/>
        </w:tabs>
        <w:ind w:left="2218" w:hanging="360"/>
      </w:pPr>
    </w:lvl>
    <w:lvl w:ilvl="5">
      <w:start w:val="1"/>
      <w:numFmt w:val="decimal"/>
      <w:lvlText w:val="%6."/>
      <w:lvlJc w:val="left"/>
      <w:pPr>
        <w:tabs>
          <w:tab w:val="num" w:pos="2578"/>
        </w:tabs>
        <w:ind w:left="2578" w:hanging="360"/>
      </w:pPr>
    </w:lvl>
    <w:lvl w:ilvl="6">
      <w:start w:val="1"/>
      <w:numFmt w:val="decimal"/>
      <w:lvlText w:val="%7."/>
      <w:lvlJc w:val="left"/>
      <w:pPr>
        <w:tabs>
          <w:tab w:val="num" w:pos="2938"/>
        </w:tabs>
        <w:ind w:left="2938" w:hanging="360"/>
      </w:pPr>
    </w:lvl>
    <w:lvl w:ilvl="7">
      <w:start w:val="1"/>
      <w:numFmt w:val="decimal"/>
      <w:lvlText w:val="%8."/>
      <w:lvlJc w:val="left"/>
      <w:pPr>
        <w:tabs>
          <w:tab w:val="num" w:pos="3298"/>
        </w:tabs>
        <w:ind w:left="3298" w:hanging="360"/>
      </w:pPr>
    </w:lvl>
    <w:lvl w:ilvl="8">
      <w:start w:val="1"/>
      <w:numFmt w:val="decimal"/>
      <w:lvlText w:val="%9."/>
      <w:lvlJc w:val="left"/>
      <w:pPr>
        <w:tabs>
          <w:tab w:val="num" w:pos="3658"/>
        </w:tabs>
        <w:ind w:left="3658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decimal"/>
      <w:lvlText w:val="%5."/>
      <w:lvlJc w:val="left"/>
      <w:pPr>
        <w:tabs>
          <w:tab w:val="num" w:pos="2877"/>
        </w:tabs>
        <w:ind w:left="2877" w:hanging="360"/>
      </w:pPr>
    </w:lvl>
    <w:lvl w:ilvl="5">
      <w:start w:val="1"/>
      <w:numFmt w:val="decimal"/>
      <w:lvlText w:val="%6."/>
      <w:lvlJc w:val="left"/>
      <w:pPr>
        <w:tabs>
          <w:tab w:val="num" w:pos="3237"/>
        </w:tabs>
        <w:ind w:left="3237" w:hanging="360"/>
      </w:pPr>
    </w:lvl>
    <w:lvl w:ilvl="6">
      <w:start w:val="1"/>
      <w:numFmt w:val="decimal"/>
      <w:lvlText w:val="%7."/>
      <w:lvlJc w:val="left"/>
      <w:pPr>
        <w:tabs>
          <w:tab w:val="num" w:pos="3597"/>
        </w:tabs>
        <w:ind w:left="3597" w:hanging="360"/>
      </w:pPr>
    </w:lvl>
    <w:lvl w:ilvl="7">
      <w:start w:val="1"/>
      <w:numFmt w:val="decimal"/>
      <w:lvlText w:val="%8."/>
      <w:lvlJc w:val="left"/>
      <w:pPr>
        <w:tabs>
          <w:tab w:val="num" w:pos="3957"/>
        </w:tabs>
        <w:ind w:left="3957" w:hanging="360"/>
      </w:pPr>
    </w:lvl>
    <w:lvl w:ilvl="8">
      <w:start w:val="1"/>
      <w:numFmt w:val="decimal"/>
      <w:lvlText w:val="%9."/>
      <w:lvlJc w:val="left"/>
      <w:pPr>
        <w:tabs>
          <w:tab w:val="num" w:pos="4317"/>
        </w:tabs>
        <w:ind w:left="4317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kern w:val="2"/>
        <w:szCs w:val="22"/>
        <w:lang w:val="sr-R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2" w:before="0" w:after="5"/>
      <w:ind w:left="61" w:right="0" w:hanging="3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sr-RS" w:eastAsia="sr-RS" w:bidi="ar-SA"/>
    </w:rPr>
  </w:style>
  <w:style w:type="character" w:styleId="DefaultParagraphFont">
    <w:name w:val="Default Paragraph Font"/>
    <w:qFormat/>
    <w:rPr/>
  </w:style>
  <w:style w:type="character" w:styleId="ListParagraphChar">
    <w:name w:val="List Paragraph Char"/>
    <w:basedOn w:val="DefaultParagraphFont"/>
    <w:qFormat/>
    <w:rPr>
      <w:rFonts w:ascii="Times New Roman" w:hAnsi="Times New Roman" w:eastAsia="Times New Roman" w:cs="Times New Roman"/>
      <w:color w:val="000000"/>
      <w:sz w:val="24"/>
      <w:lang w:eastAsia="sr-R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ascii="Times New Roman" w:hAnsi="Times New Roman" w:eastAsia="Times New Roman" w:cs="Times New Roman"/>
      <w:color w:val="000000"/>
      <w:sz w:val="20"/>
      <w:szCs w:val="20"/>
      <w:lang w:eastAsia="sr-RS"/>
    </w:rPr>
  </w:style>
  <w:style w:type="character" w:styleId="BalloonTextChar">
    <w:name w:val="Balloon Text Char"/>
    <w:basedOn w:val="DefaultParagraphFont"/>
    <w:qFormat/>
    <w:rPr>
      <w:rFonts w:ascii="Segoe UI" w:hAnsi="Segoe UI" w:eastAsia="Times New Roman" w:cs="Segoe UI"/>
      <w:color w:val="000000"/>
      <w:sz w:val="18"/>
      <w:szCs w:val="18"/>
      <w:lang w:eastAsia="sr-RS"/>
    </w:rPr>
  </w:style>
  <w:style w:type="character" w:styleId="Markedcontent">
    <w:name w:val="markedcontent"/>
    <w:basedOn w:val="DefaultParagraphFont"/>
    <w:qFormat/>
    <w:rPr/>
  </w:style>
  <w:style w:type="character" w:styleId="CommentSubjectChar">
    <w:name w:val="Comment Subject Char"/>
    <w:basedOn w:val="CommentTextChar"/>
    <w:qFormat/>
    <w:rPr>
      <w:rFonts w:ascii="Times New Roman" w:hAnsi="Times New Roman" w:eastAsia="Times New Roman" w:cs="Times New Roman"/>
      <w:b/>
      <w:bCs/>
      <w:color w:val="000000"/>
      <w:sz w:val="20"/>
      <w:szCs w:val="20"/>
      <w:lang w:eastAsia="sr-RS"/>
    </w:rPr>
  </w:style>
  <w:style w:type="character" w:styleId="InternetLink">
    <w:name w:val="Hyperlink"/>
    <w:basedOn w:val="DefaultParagraphFont"/>
    <w:rPr>
      <w:color w:val="0563C1"/>
      <w:u w:val="single"/>
      <w:lang w:val="zxx" w:eastAsia="zxx" w:bidi="zxx"/>
    </w:rPr>
  </w:style>
  <w:style w:type="character" w:styleId="VisitedInternetLink">
    <w:name w:val="FollowedHyperlink"/>
    <w:basedOn w:val="DefaultParagraphFont"/>
    <w:qFormat/>
    <w:rPr>
      <w:color w:val="954F72"/>
      <w:u w:val="single"/>
    </w:rPr>
  </w:style>
  <w:style w:type="character" w:styleId="NumberingSymbols">
    <w:name w:val="Numbering Symbols"/>
    <w:qFormat/>
    <w:rPr>
      <w:rFonts w:ascii="Arial" w:hAnsi="Aria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3"/>
    </w:pPr>
    <w:rPr/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SimSun" w:cs="Calibri"/>
      <w:color w:val="auto"/>
      <w:kern w:val="2"/>
      <w:sz w:val="24"/>
      <w:szCs w:val="22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lidija.petkovic@zajecar.info" TargetMode="External"/><Relationship Id="rId5" Type="http://schemas.openxmlformats.org/officeDocument/2006/relationships/hyperlink" Target="mailto:lidija.petkovic@zajecar.info" TargetMode="External"/><Relationship Id="rId6" Type="http://schemas.openxmlformats.org/officeDocument/2006/relationships/hyperlink" Target="mailto:lidija.petkovic@zajecar.info" TargetMode="External"/><Relationship Id="rId7" Type="http://schemas.openxmlformats.org/officeDocument/2006/relationships/hyperlink" Target="mailto:dragan.mincic@zajecar.info" TargetMode="External"/><Relationship Id="rId8" Type="http://schemas.openxmlformats.org/officeDocument/2006/relationships/hyperlink" Target="mailto:dragan.mincic@zajecar.info" TargetMode="External"/><Relationship Id="rId9" Type="http://schemas.openxmlformats.org/officeDocument/2006/relationships/hyperlink" Target="mailto:dragan.mincic@zajecar.info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LibreOffice/7.1.3.2$Windows_X86_64 LibreOffice_project/47f78053abe362b9384784d31a6e56f8511eb1c1</Application>
  <AppVersion>15.0000</AppVersion>
  <Pages>8</Pages>
  <Words>2857</Words>
  <Characters>16599</Characters>
  <CharactersWithSpaces>19452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2022-10-26T07:39:41Z</dcterms:created>
  <dc:creator/>
  <dc:description/>
  <dc:language>en-US</dc:language>
  <cp:lastModifiedBy/>
  <dcterms:modified xsi:type="dcterms:W3CDTF">2022-11-01T15:13:04Z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