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-46" w:hanging="0"/>
        <w:jc w:val="both"/>
        <w:rPr/>
      </w:pP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>На основу спроведеног поступка јавне набавке у отвореном поступку бр. 404-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en-US"/>
        </w:rPr>
        <w:t>23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>3  набавка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Latn-RS"/>
        </w:rPr>
        <w:t xml:space="preserve"> 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>радова на санацији и адаптацији електроинсталација Народног позоришта тимочке крајине – центра за културу „ Зоран Радмиловић“ у Зајечару,  закључује се</w:t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Уговор</w:t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auto"/>
          <w:spacing w:val="0"/>
          <w:sz w:val="22"/>
          <w:szCs w:val="22"/>
          <w:shd w:fill="auto" w:val="clear"/>
        </w:rPr>
        <w:t xml:space="preserve"> </w:t>
      </w:r>
      <w:r>
        <w:rPr>
          <w:rFonts w:eastAsia="Arial" w:cs="Arial" w:ascii="Arial" w:hAnsi="Arial"/>
          <w:b/>
          <w:color w:val="auto"/>
          <w:spacing w:val="0"/>
          <w:sz w:val="22"/>
          <w:szCs w:val="22"/>
          <w:shd w:fill="auto" w:val="clear"/>
        </w:rPr>
        <w:t xml:space="preserve">о извођењу радова </w:t>
      </w:r>
    </w:p>
    <w:p>
      <w:pPr>
        <w:pStyle w:val="Normal"/>
        <w:widowControl w:val="false"/>
        <w:spacing w:lineRule="exact" w:line="276" w:before="0" w:after="0"/>
        <w:ind w:left="0" w:right="-46" w:hanging="0"/>
        <w:jc w:val="center"/>
        <w:rPr/>
      </w:pP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ab/>
        <w:t>на санацији и адаптацији електроинсталација</w:t>
      </w:r>
    </w:p>
    <w:p>
      <w:pPr>
        <w:pStyle w:val="Normal"/>
        <w:widowControl w:val="false"/>
        <w:spacing w:lineRule="exact" w:line="276" w:before="0" w:after="0"/>
        <w:ind w:left="0" w:right="-46" w:hanging="0"/>
        <w:jc w:val="center"/>
        <w:rPr/>
      </w:pP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>Народног позоришта тимочке  крајине – центра за културу</w:t>
      </w:r>
    </w:p>
    <w:p>
      <w:pPr>
        <w:pStyle w:val="Normal"/>
        <w:widowControl w:val="false"/>
        <w:spacing w:lineRule="exact" w:line="276" w:before="0" w:after="0"/>
        <w:ind w:left="0" w:right="-46" w:hanging="0"/>
        <w:jc w:val="center"/>
        <w:rPr/>
      </w:pP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 xml:space="preserve"> „ </w:t>
      </w:r>
      <w:r>
        <w:rPr>
          <w:rFonts w:eastAsia="Arial" w:cs="Arial" w:ascii="Arial" w:hAnsi="Arial"/>
          <w:b/>
          <w:bCs/>
          <w:iCs/>
          <w:color w:val="auto"/>
          <w:spacing w:val="0"/>
          <w:sz w:val="22"/>
          <w:szCs w:val="22"/>
          <w:lang w:val="sr-RS"/>
        </w:rPr>
        <w:t>Зоран Радмиловић“ у Зајечару</w:t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center"/>
        <w:rPr>
          <w:rFonts w:eastAsia="Arial" w:cs="Arial"/>
          <w:b/>
          <w:b/>
          <w:bCs/>
          <w:color w:val="auto"/>
          <w:spacing w:val="0"/>
          <w:lang w:val="sr-RS"/>
        </w:rPr>
      </w:pPr>
      <w:r>
        <w:rPr>
          <w:rFonts w:eastAsia="Arial" w:cs="Arial"/>
          <w:b/>
          <w:bCs/>
          <w:color w:val="auto"/>
          <w:spacing w:val="0"/>
          <w:lang w:val="sr-RS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center"/>
        <w:rPr>
          <w:rFonts w:eastAsia="Arial" w:cs="Arial"/>
          <w:color w:val="auto"/>
          <w:spacing w:val="0"/>
          <w:lang w:val="sr-RS"/>
        </w:rPr>
      </w:pPr>
      <w:r>
        <w:rPr>
          <w:rFonts w:eastAsia="Arial" w:cs="Arial"/>
          <w:color w:val="auto"/>
          <w:spacing w:val="0"/>
          <w:lang w:val="sr-RS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Закључен између:</w:t>
      </w:r>
    </w:p>
    <w:p>
      <w:pPr>
        <w:pStyle w:val="Normal"/>
        <w:widowControl w:val="false"/>
        <w:spacing w:lineRule="exact" w:line="276" w:before="0" w:after="0"/>
        <w:ind w:left="72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numPr>
          <w:ilvl w:val="0"/>
          <w:numId w:val="1"/>
        </w:numPr>
        <w:spacing w:lineRule="exact" w:line="276" w:before="0" w:after="0"/>
        <w:ind w:left="720" w:right="0" w:hanging="360"/>
        <w:jc w:val="both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Република Србија – Градска управа</w:t>
      </w: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  <w:lang w:val="sr-Latn-RS"/>
        </w:rPr>
        <w:t xml:space="preserve"> град</w:t>
      </w: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  <w:lang w:val="sr-RS"/>
        </w:rPr>
        <w:t xml:space="preserve">а </w:t>
      </w: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 xml:space="preserve">Зајечар,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ПИБ 101757838, коју заступа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Н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ачелник градске управе Зајечар Слободан Виденовић, у даљем тексту Наручилац</w:t>
      </w:r>
    </w:p>
    <w:p>
      <w:pPr>
        <w:pStyle w:val="Normal"/>
        <w:widowControl w:val="false"/>
        <w:numPr>
          <w:ilvl w:val="0"/>
          <w:numId w:val="1"/>
        </w:numPr>
        <w:spacing w:lineRule="exact" w:line="276" w:before="0" w:after="0"/>
        <w:ind w:left="720" w:right="0" w:hanging="36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________________ са седиштем у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, улица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, ПИБ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, матични број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, рачун бр.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отворен код пословне банке __________ ко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га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заступа  __________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, у даљем тексту Извођач.</w:t>
      </w:r>
    </w:p>
    <w:p>
      <w:pPr>
        <w:pStyle w:val="Normal"/>
        <w:widowControl w:val="false"/>
        <w:numPr>
          <w:ilvl w:val="0"/>
          <w:numId w:val="0"/>
        </w:numPr>
        <w:spacing w:lineRule="exact" w:line="276" w:before="0" w:after="0"/>
        <w:ind w:left="36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Предмет Уговора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1.</w:t>
      </w:r>
    </w:p>
    <w:p>
      <w:pPr>
        <w:pStyle w:val="Normal"/>
        <w:widowControl w:val="false"/>
        <w:spacing w:lineRule="exact" w:line="276" w:before="0" w:after="20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Уговорне стране констатују да је Наручилац изабрао Извођача као најповољнијег понуђача за извођење радова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</w:t>
      </w:r>
      <w:bookmarkStart w:id="0" w:name="__DdeLink__240_3190089849"/>
      <w:r>
        <w:rPr>
          <w:rFonts w:eastAsia="Arial" w:cs="Arial" w:ascii="Arial" w:hAnsi="Arial"/>
          <w:b w:val="false"/>
          <w:bCs w:val="false"/>
          <w:iCs/>
          <w:color w:val="auto"/>
          <w:spacing w:val="0"/>
          <w:sz w:val="24"/>
          <w:szCs w:val="24"/>
          <w:lang w:val="sr-RS"/>
        </w:rPr>
        <w:t>на санацији и адаптацији електроинсталација Народног позоришта тимочке крајине – центра за културу „ Зоран Радмиловић“ у Зајечару.</w:t>
      </w:r>
      <w:bookmarkEnd w:id="0"/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2.</w:t>
      </w:r>
    </w:p>
    <w:p>
      <w:pPr>
        <w:pStyle w:val="Normal"/>
        <w:widowControl w:val="false"/>
        <w:spacing w:lineRule="exact" w:line="276" w:before="0" w:after="20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Предмет Уговора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је</w:t>
      </w:r>
      <w:r>
        <w:rPr>
          <w:rFonts w:eastAsia="Arial" w:cs="Arial" w:ascii="Arial" w:hAnsi="Arial"/>
          <w:color w:val="FF0000"/>
          <w:spacing w:val="0"/>
          <w:sz w:val="24"/>
          <w:shd w:fill="auto" w:val="clear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извођење радова </w:t>
      </w:r>
      <w:r>
        <w:rPr>
          <w:rFonts w:eastAsia="Arial" w:cs="Arial" w:ascii="Arial" w:hAnsi="Arial"/>
          <w:b w:val="false"/>
          <w:bCs w:val="false"/>
          <w:iCs/>
          <w:color w:val="auto"/>
          <w:spacing w:val="0"/>
          <w:sz w:val="24"/>
          <w:szCs w:val="24"/>
          <w:lang w:val="sr-RS"/>
        </w:rPr>
        <w:t xml:space="preserve">на санацији и адаптацији електроинсталација Народног позоришта тимочке крајине – центра за културу „ Зоран Радмиловић у Зајечару.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и ближе је одређен усвојеном понудом извођача број </w:t>
      </w:r>
      <w:bookmarkStart w:id="1" w:name="__DdeLink__242_2537487948"/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од 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.202</w:t>
      </w:r>
      <w:bookmarkEnd w:id="1"/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1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године, која је саставни део овог Уговора.</w:t>
      </w:r>
    </w:p>
    <w:p>
      <w:pPr>
        <w:pStyle w:val="Normal"/>
        <w:widowControl w:val="false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>
      <w:pPr>
        <w:pStyle w:val="Normal"/>
        <w:widowControl w:val="false"/>
        <w:spacing w:lineRule="exact" w:line="276" w:before="0" w:after="0"/>
        <w:ind w:left="288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 xml:space="preserve">       </w:t>
      </w: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Вредност радова - цена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3.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Уговорне стране утврђују да цена свих радова који су предмет овог Уговора износи: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__________</w:t>
      </w:r>
      <w:bookmarkStart w:id="2" w:name="__DdeLink__202_3813570816"/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динара без ПДВ-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а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,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односно ________ динара са ПДВ-ом</w:t>
      </w:r>
      <w:bookmarkEnd w:id="2"/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а добијена је на основу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јединичних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цен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а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из усвојене понуде Извођача број </w:t>
      </w:r>
      <w:bookmarkStart w:id="3" w:name="__DdeLink__181_2477782214"/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</w:t>
      </w:r>
      <w:bookmarkEnd w:id="3"/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од _______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.2021.године.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Уговорена цена је фиксна по јединици мере и не може се мењати услед повећања цене елемената на основу којих је одређена.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Осим вредности рада, добара и услуга неопходних за извршење уговора, цена обухвата и трошкове организације градилишта, осигурања и све остале зависне трошкове Извођача.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Услови и начин плаћања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4.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Уговорне стране су сагласне да се плаћање по овом уговору изврши на следећи начин 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се обавезује да за извођење радов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en-US"/>
        </w:rPr>
        <w:t>a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из члана 2. овог уговора, исплати Извођачу радова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 xml:space="preserve"> уговорену вредност у року до 45 дана од дана пријема привремених и окончане оверене ситуације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сачињен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е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на основу оверене грађевинске књиге изведених радова, и потписан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  <w:lang w:val="sr-RS"/>
        </w:rPr>
        <w:t>е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од стране стручног надзора,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Уколико Наручилац делимично оспори испостављену ситуацију, дужан је да исплати неспорни део ситуације.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обрачуна, у супротном се неће извршити плаћање тих позиција,  што Извођач признаје без права приговора.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Рок за завршетак радова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5.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И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 xml:space="preserve">звођач се обавезује да уговорене радове 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започне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 xml:space="preserve"> у периоду након 25.10.2021.године 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и изврши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 xml:space="preserve"> у року од 30 календарских дана, рачунајући од дана увођења у посао.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Датум увођења у посао стручни надзор уписује у грађевински дневник, а сматраће се да је увођење у посао извршено испуњењем свих наведених услова: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1440" w:leader="none"/>
        </w:tabs>
        <w:spacing w:lineRule="exact" w:line="276" w:before="0" w:after="0"/>
        <w:ind w:left="1440" w:right="0" w:hanging="36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да је Наручилац обезбедио Извођачу несметан прилаз градилишту.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1440" w:leader="none"/>
        </w:tabs>
        <w:spacing w:lineRule="exact" w:line="276" w:before="0" w:after="0"/>
        <w:ind w:left="1440" w:right="0" w:hanging="36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да је Наручилац  Решењем одредио стручни надзор.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Под роком завршетка радова сматра се дан њихове спремности за преглед, а што стручни надзор констатује у грађевинском дневнику.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Утврђени рокови су фиксни и не могу се мењати без сагласности Наручиоца.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6.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Рок за извођење радова се продужава на захтев Извођача 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у случају прекида радова који траје дуже од 2 дана, а није изазван кривицом Извођача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 у случају елементарних непогода и дејства више силе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Уговорени рок је продужен када уговорне стране у форми Анекса овог Уговора о томе постигну писмени споразум.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 случају да Извођач не испуњава предвиђену динамику, обавезан је да уведе у рад више извршилаца, без права на захтевање повећаних трошкова или посебне накнаде.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Уговорна казна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7.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Уколико Извођач не заврши радове у уговореном року, дужан је да плати Наручиоцу уговорну казну у висини 0,5 % од укупно уговорене вредности за сваки дан закашњења, с тим што укупан износ казне не може бити већи од 5% од вредности укупно уговорних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Наплату уговорне казне Наручилац ће извршити, без претходног пристанка Извођача, умањењем рачуна наведеног у окончаној ситуацији.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претпљене штете. Постојање и износ штете Наручилац мора да докаже.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Обавезе Извођача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8.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 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се обавезује 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пре почетка радова Наручиоцу достави решење о именовању одговорног   извођача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 да се строго придржава мера заштите на раду;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по завршеним радовима одмах обавести Наручиоца да је завршио радове и да је спреман за њихову примопредају.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испуни све уговорене обавезе стручно, квалитетно, према важећим стандардима за ту врсту посла и у уговореном року;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обезбеди довољну радну снагу на градилишту и благовремену испоруку уговореног материјала и опреме потребну за извођење уговором преузетих радова;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 да обезбеди безбедност свих лица на градилишту, као и одговарајуће обезбеђење складишта својих материјала и слично, тако да се Наручилац  ослобађају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 да уредно води све књиге предвиђене законом и другим прописима Републике Србије, који регулишу ову област;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омогући вршење стручног надзора на објекту;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сноси трошкове накнадних прегледа комисије за пријем радова уколико се  утврде неправилности и недостаци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 xml:space="preserve">Обавезе Наручиоца 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9.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се обавезује да Извођачу плати уговорену цену под условима и на начин одређен чланом 4. овог Уговора, и да од Извођача, по завршетку радова, прими наведене радове.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 ће обезбедити вршење стручног надзора над извршењем уговорних обавеза Извођача.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се обавезује да уведе Извођача у посао, предајући му инвестиционо-техничку документацију,потврду о пријави радова  као и обезбеђујући му несметан прилаз градилишту.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2160" w:right="0" w:firstLine="720"/>
        <w:jc w:val="left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Извођење уговорених радова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10.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За укупан уграђени материјал Извођач мора да има сертификате квалитета и атесте који се захтевају по важећим прописима и мерама за објекте те врсте у складу са пројектном документацијом.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Стручни надзор над извођењем уговорених радова се врши складу са Законом о планирању и изградњи.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color w:val="000000"/>
          <w:spacing w:val="0"/>
          <w:sz w:val="24"/>
        </w:rPr>
      </w:pPr>
      <w:r>
        <w:rPr>
          <w:rFonts w:eastAsia="Arial" w:cs="Arial" w:ascii="Arial" w:hAnsi="Arial"/>
          <w:color w:val="000000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11.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предвитети у току израде пројектне документације.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и стручни надзор су дужни да истог дана када наступе околности из става 1. овог члана, о томе обавесте Наручиоца . Наручилац може раскинути уговор уколико би услед ових радова цена морала бити знатно повећана, о чему је дужан да без одлагања обавести Извођача.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има право на правичну накнаду за учињене неопходне трошкове и исплату дела цене за до тада извршене радове.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12.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Накнадни радови су радови који нису уговорени и нису нужни за испуњење овог уговора, те уколико Наручилац и захтева да се изведу потребно их је посебно уговорити.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Фактички обављени накнадни радови, без писмено закљученог уговора су правно неважећи.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Примопредаја изведених радова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13.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Извођач о завршетку уговорених радова обавештава Наручиоца,и стручни надзор, а дан завршетка радова уписује се у грађевински дневник.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Комисију за примопредају радова чине по један представник Наручиоца, Стручног надзора и Извођача.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Комисија сачињава записник о примопредаји.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Евентуално уступање отклањања недостатака другом извођачу Наручилац ће учинити по тржишним ценама и са пажњом доброг привредника.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Коначни обрачун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14.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Окончана ситуација за изведене радове се испоставља истовремено са записником о примопредаји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Раскид Уговора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15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задржава право да једнострано раскине овај Уговор уколико Извођач радова касни са извођењем радова дуже од 10 календарских дана.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може једнострано раскинути уговор у случају да се на основу грађевинског дневника утврди да Извођач касни са извођењем радова дуже од 10 календарских дана, као и ако Извођач не изводи радове у складу са пројектно-техничком документацијом или из неоправданих разлога прекине са извођењем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Уговор се раскида писменом изјавом која садржи основ за раскид уговора и доставља се другој уговорној страни.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Остале одредбе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16.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17.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</w:rPr>
        <w:t>Прилози и саставни делови овог Уговора су: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0"/>
          <w:spacing w:val="0"/>
          <w:sz w:val="24"/>
          <w:szCs w:val="24"/>
          <w:shd w:fill="auto" w:val="clear"/>
        </w:rPr>
        <w:t>-  понуда Извођача бр____________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.2021.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</w:rPr>
        <w:t>године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</w:rPr>
        <w:t xml:space="preserve">- </w:t>
      </w: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 xml:space="preserve">меница за добро извршење посла у износу од 10%  од угворене вредности </w:t>
      </w:r>
      <w:bookmarkStart w:id="4" w:name="__DdeLink__77_3448435954"/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без ПДВ-а</w:t>
      </w:r>
      <w:bookmarkEnd w:id="4"/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, са роком важења најмање 30 дана дуже од уговореног рока за завршетак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pacing w:val="0"/>
          <w:sz w:val="24"/>
          <w:szCs w:val="24"/>
          <w:shd w:fill="auto" w:val="clear"/>
          <w:lang w:val="sr-RS"/>
        </w:rPr>
        <w:t>- меница за за отклаљање грешака у гарантном року, по примопредаји радова, у износу од 5% без ПДВ-а од укупне вредности радова, са роком важења најмање 2 године од дана  примопредаје  радова.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000000"/>
          <w:spacing w:val="0"/>
          <w:sz w:val="24"/>
          <w:szCs w:val="24"/>
        </w:rPr>
      </w:pPr>
      <w:r>
        <w:rPr>
          <w:rFonts w:eastAsia="Arial" w:cs="Arial" w:ascii="Arial" w:hAnsi="Arial"/>
          <w:color w:val="000000"/>
          <w:spacing w:val="0"/>
          <w:sz w:val="24"/>
          <w:szCs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18.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Све евентуалне спорове уговорне стране ће решавати споразумно.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Уколико до споразума не дође, уговара се надлежност Привредног суда у Зајечару.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19.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/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Овај  Уговор ступа на снагу даном потписа свих уговорних страна.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center"/>
        <w:rPr>
          <w:rFonts w:ascii="Arial" w:hAnsi="Arial" w:eastAsia="Arial" w:cs="Arial"/>
          <w:b/>
          <w:b/>
          <w:color w:val="auto"/>
          <w:spacing w:val="0"/>
          <w:sz w:val="24"/>
        </w:rPr>
      </w:pPr>
      <w:r>
        <w:rPr>
          <w:rFonts w:eastAsia="Arial" w:cs="Arial" w:ascii="Arial" w:hAnsi="Arial"/>
          <w:b/>
          <w:color w:val="auto"/>
          <w:spacing w:val="0"/>
          <w:sz w:val="24"/>
          <w:shd w:fill="auto" w:val="clear"/>
        </w:rPr>
        <w:t>Члан 20.</w:t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Овај Уговор је сачињен у четири једнаких примерака, по два за сваку уговорну страну.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</w:rPr>
      </w:r>
    </w:p>
    <w:tbl>
      <w:tblPr>
        <w:tblW w:w="924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0"/>
        <w:gridCol w:w="4620"/>
      </w:tblGrid>
      <w:tr>
        <w:trPr>
          <w:trHeight w:val="1" w:hRule="atLeast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ЗА НАРУЧИОЦА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 xml:space="preserve">ЗА </w:t>
            </w: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  <w:lang w:val="sr-RS"/>
              </w:rPr>
              <w:t>ИЗВО</w:t>
            </w: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ЂАЧА</w:t>
            </w:r>
          </w:p>
        </w:tc>
      </w:tr>
      <w:tr>
        <w:trPr>
          <w:trHeight w:val="1" w:hRule="atLeast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ГРАДСКА УПРАВА ГРАДА ЗАЈЕЧАРА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1" w:hRule="atLeast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color w:val="auto"/>
                <w:spacing w:val="0"/>
                <w:sz w:val="22"/>
              </w:rPr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Слободан Виденовић, дипл. прав.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  <w:lang w:val="sr-RS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lang w:val="sr-RS"/>
              </w:rPr>
            </w:r>
          </w:p>
        </w:tc>
      </w:tr>
      <w:tr>
        <w:trPr>
          <w:trHeight w:val="1" w:hRule="atLeast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(потпис и печат)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auto" w:val="clear"/>
          </w:tcPr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both"/>
              <w:rPr>
                <w:rFonts w:ascii="Arial" w:hAnsi="Arial" w:eastAsia="Arial" w:cs="Arial"/>
                <w:i/>
                <w:i/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</w:rPr>
            </w:r>
          </w:p>
          <w:p>
            <w:pPr>
              <w:pStyle w:val="Normal"/>
              <w:widowControl w:val="false"/>
              <w:tabs>
                <w:tab w:val="left" w:pos="0" w:leader="none"/>
                <w:tab w:val="left" w:pos="709" w:leader="none"/>
              </w:tabs>
              <w:spacing w:lineRule="exact" w:line="240" w:before="0" w:after="0"/>
              <w:ind w:left="0" w:right="-46" w:hanging="0"/>
              <w:jc w:val="center"/>
              <w:rPr>
                <w:color w:val="auto"/>
                <w:spacing w:val="0"/>
                <w:sz w:val="22"/>
              </w:rPr>
            </w:pPr>
            <w:r>
              <w:rPr>
                <w:rFonts w:eastAsia="Arial" w:cs="Arial" w:ascii="Arial" w:hAnsi="Arial"/>
                <w:i/>
                <w:color w:val="auto"/>
                <w:spacing w:val="0"/>
                <w:sz w:val="22"/>
                <w:shd w:fill="auto" w:val="clear"/>
              </w:rPr>
              <w:t>(потпис)</w:t>
            </w:r>
          </w:p>
        </w:tc>
      </w:tr>
    </w:tbl>
    <w:p>
      <w:pPr>
        <w:pStyle w:val="Normal"/>
        <w:widowControl w:val="false"/>
        <w:spacing w:lineRule="exact" w:line="240" w:before="0" w:after="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2"/>
      <w:sz w:val="22"/>
      <w:szCs w:val="24"/>
      <w:lang w:val="en-US" w:eastAsia="zh-CN" w:bidi="hi-IN"/>
    </w:rPr>
  </w:style>
  <w:style w:type="character" w:styleId="ListLabel1">
    <w:name w:val="ListLabel 1"/>
    <w:qFormat/>
    <w:rPr>
      <w:rFonts w:ascii="Arial" w:hAnsi="Arial" w:cs="Symbol"/>
      <w:sz w:val="24"/>
    </w:rPr>
  </w:style>
  <w:style w:type="character" w:styleId="ListLabel2">
    <w:name w:val="ListLabel 2"/>
    <w:qFormat/>
    <w:rPr>
      <w:rFonts w:ascii="Arial" w:hAnsi="Arial" w:cs="Symbol"/>
      <w:sz w:val="24"/>
    </w:rPr>
  </w:style>
  <w:style w:type="character" w:styleId="ListLabel3">
    <w:name w:val="ListLabel 3"/>
    <w:qFormat/>
    <w:rPr>
      <w:rFonts w:ascii="Arial" w:hAnsi="Arial" w:cs="Symbol"/>
      <w:sz w:val="24"/>
    </w:rPr>
  </w:style>
  <w:style w:type="character" w:styleId="ListLabel4">
    <w:name w:val="ListLabel 4"/>
    <w:qFormat/>
    <w:rPr>
      <w:rFonts w:ascii="Arial" w:hAnsi="Arial" w:cs="Symbol"/>
      <w:sz w:val="24"/>
    </w:rPr>
  </w:style>
  <w:style w:type="character" w:styleId="ListLabel5">
    <w:name w:val="ListLabel 5"/>
    <w:qFormat/>
    <w:rPr>
      <w:rFonts w:cs="Symbol"/>
      <w:sz w:val="24"/>
    </w:rPr>
  </w:style>
  <w:style w:type="character" w:styleId="ListLabel6">
    <w:name w:val="ListLabel 6"/>
    <w:qFormat/>
    <w:rPr>
      <w:rFonts w:ascii="Arial" w:hAnsi="Arial" w:cs="Symbol"/>
      <w:sz w:val="24"/>
    </w:rPr>
  </w:style>
  <w:style w:type="character" w:styleId="ListLabel7">
    <w:name w:val="ListLabel 7"/>
    <w:qFormat/>
    <w:rPr>
      <w:rFonts w:cs="Symbol"/>
      <w:sz w:val="24"/>
    </w:rPr>
  </w:style>
  <w:style w:type="character" w:styleId="ListLabel8">
    <w:name w:val="ListLabel 8"/>
    <w:qFormat/>
    <w:rPr>
      <w:rFonts w:ascii="Arial" w:hAnsi="Arial" w:cs="Symbol"/>
      <w:sz w:val="24"/>
    </w:rPr>
  </w:style>
  <w:style w:type="character" w:styleId="ListLabel9">
    <w:name w:val="ListLabel 9"/>
    <w:qFormat/>
    <w:rPr>
      <w:rFonts w:cs="Symbol"/>
      <w:sz w:val="24"/>
    </w:rPr>
  </w:style>
  <w:style w:type="character" w:styleId="ListLabel10">
    <w:name w:val="ListLabel 10"/>
    <w:qFormat/>
    <w:rPr>
      <w:rFonts w:ascii="Arial" w:hAnsi="Arial" w:cs="Symbol"/>
      <w:sz w:val="24"/>
    </w:rPr>
  </w:style>
  <w:style w:type="character" w:styleId="ListLabel11">
    <w:name w:val="ListLabel 11"/>
    <w:qFormat/>
    <w:rPr>
      <w:rFonts w:cs="Symbol"/>
      <w:sz w:val="24"/>
    </w:rPr>
  </w:style>
  <w:style w:type="character" w:styleId="ListLabel12">
    <w:name w:val="ListLabel 12"/>
    <w:qFormat/>
    <w:rPr>
      <w:rFonts w:ascii="Arial" w:hAnsi="Arial" w:cs="Symbol"/>
      <w:sz w:val="24"/>
    </w:rPr>
  </w:style>
  <w:style w:type="character" w:styleId="ListLabel13">
    <w:name w:val="ListLabel 13"/>
    <w:qFormat/>
    <w:rPr>
      <w:rFonts w:cs="Symbol"/>
      <w:sz w:val="24"/>
    </w:rPr>
  </w:style>
  <w:style w:type="character" w:styleId="ListLabel14">
    <w:name w:val="ListLabel 14"/>
    <w:qFormat/>
    <w:rPr>
      <w:rFonts w:ascii="Arial" w:hAnsi="Arial" w:cs="Symbol"/>
      <w:sz w:val="24"/>
    </w:rPr>
  </w:style>
  <w:style w:type="character" w:styleId="ListLabel15">
    <w:name w:val="ListLabel 15"/>
    <w:qFormat/>
    <w:rPr>
      <w:rFonts w:cs="Symbol"/>
      <w:sz w:val="24"/>
    </w:rPr>
  </w:style>
  <w:style w:type="character" w:styleId="ListLabel16">
    <w:name w:val="ListLabel 16"/>
    <w:qFormat/>
    <w:rPr>
      <w:rFonts w:ascii="Arial" w:hAnsi="Arial" w:cs="Symbol"/>
      <w:sz w:val="24"/>
    </w:rPr>
  </w:style>
  <w:style w:type="character" w:styleId="ListLabel17">
    <w:name w:val="ListLabel 17"/>
    <w:qFormat/>
    <w:rPr>
      <w:rFonts w:cs="Symbol"/>
      <w:sz w:val="24"/>
    </w:rPr>
  </w:style>
  <w:style w:type="character" w:styleId="ListLabel18">
    <w:name w:val="ListLabel 18"/>
    <w:qFormat/>
    <w:rPr>
      <w:rFonts w:ascii="Arial" w:hAnsi="Arial" w:cs="Symbol"/>
      <w:sz w:val="24"/>
    </w:rPr>
  </w:style>
  <w:style w:type="character" w:styleId="ListLabel19">
    <w:name w:val="ListLabel 19"/>
    <w:qFormat/>
    <w:rPr>
      <w:rFonts w:cs="Symbol"/>
      <w:sz w:val="24"/>
    </w:rPr>
  </w:style>
  <w:style w:type="character" w:styleId="ListLabel20">
    <w:name w:val="ListLabel 20"/>
    <w:qFormat/>
    <w:rPr>
      <w:rFonts w:ascii="Arial" w:hAnsi="Arial" w:cs="Symbol"/>
      <w:sz w:val="24"/>
    </w:rPr>
  </w:style>
  <w:style w:type="character" w:styleId="ListLabel21">
    <w:name w:val="ListLabel 21"/>
    <w:qFormat/>
    <w:rPr>
      <w:rFonts w:cs="Symbol"/>
      <w:sz w:val="24"/>
    </w:rPr>
  </w:style>
  <w:style w:type="character" w:styleId="ListLabel22">
    <w:name w:val="ListLabel 22"/>
    <w:qFormat/>
    <w:rPr>
      <w:rFonts w:ascii="Arial" w:hAnsi="Arial" w:cs="Symbol"/>
      <w:sz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200</TotalTime>
  <Application>LibreOffice/6.2.8.2$Windows_X86_64 LibreOffice_project/f82ddfca21ebc1e222a662a32b25c0c9d20169ee</Application>
  <Pages>7</Pages>
  <Words>1985</Words>
  <Characters>11218</Characters>
  <CharactersWithSpaces>13118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2020-09-02T11:42:46Z</cp:lastPrinted>
  <dcterms:modified xsi:type="dcterms:W3CDTF">2021-08-23T10:57:34Z</dcterms:modified>
  <cp:revision>17</cp:revision>
  <dc:subject/>
  <dc:title/>
</cp:coreProperties>
</file>